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E1B2" w14:textId="77777777" w:rsidR="001C1073" w:rsidRDefault="005039FA">
      <w:pPr>
        <w:tabs>
          <w:tab w:val="left" w:pos="1575"/>
        </w:tabs>
        <w:spacing w:beforeLines="100" w:before="240" w:line="360" w:lineRule="exact"/>
        <w:ind w:rightChars="31" w:right="65"/>
        <w:jc w:val="center"/>
        <w:rPr>
          <w:rFonts w:ascii="黑体" w:eastAsia="黑体" w:hAnsi="黑体" w:cs="黑体"/>
          <w:sz w:val="32"/>
          <w:szCs w:val="32"/>
        </w:rPr>
      </w:pPr>
      <w:bookmarkStart w:id="0" w:name="_Toc180835805"/>
      <w:bookmarkStart w:id="1" w:name="_Toc172363637"/>
      <w:bookmarkStart w:id="2" w:name="_Toc167989867"/>
      <w:bookmarkStart w:id="3" w:name="_Toc122850670"/>
      <w:bookmarkStart w:id="4" w:name="_GoBack"/>
      <w:bookmarkEnd w:id="4"/>
      <w:r>
        <w:rPr>
          <w:rFonts w:ascii="黑体" w:eastAsia="黑体" w:hAnsi="黑体" w:cs="黑体"/>
          <w:sz w:val="32"/>
          <w:szCs w:val="32"/>
        </w:rPr>
        <w:t>《</w:t>
      </w:r>
      <w:bookmarkStart w:id="5" w:name="_Hlk104109418"/>
      <w:r>
        <w:rPr>
          <w:rFonts w:ascii="黑体" w:eastAsia="黑体" w:hAnsi="黑体" w:cs="黑体" w:hint="eastAsia"/>
          <w:spacing w:val="4"/>
          <w:sz w:val="32"/>
          <w:szCs w:val="32"/>
        </w:rPr>
        <w:t>香榧与香榧加工产品碳足迹评估方法</w:t>
      </w:r>
      <w:bookmarkEnd w:id="5"/>
      <w:r>
        <w:rPr>
          <w:rFonts w:ascii="黑体" w:eastAsia="黑体" w:hAnsi="黑体" w:cs="黑体"/>
          <w:sz w:val="32"/>
          <w:szCs w:val="32"/>
        </w:rPr>
        <w:t>》编制说明</w:t>
      </w:r>
    </w:p>
    <w:p w14:paraId="76320E27" w14:textId="2A59AAD6" w:rsidR="001C1073" w:rsidRDefault="005039FA">
      <w:pPr>
        <w:tabs>
          <w:tab w:val="left" w:pos="1575"/>
        </w:tabs>
        <w:spacing w:beforeLines="100" w:before="240" w:line="360" w:lineRule="exact"/>
        <w:ind w:rightChars="31" w:right="65"/>
        <w:jc w:val="center"/>
        <w:rPr>
          <w:rFonts w:ascii="宋体" w:hAnsi="宋体" w:cs="宋体"/>
          <w:sz w:val="32"/>
          <w:szCs w:val="32"/>
        </w:rPr>
      </w:pPr>
      <w:r>
        <w:rPr>
          <w:rFonts w:ascii="宋体" w:hAnsi="宋体" w:cs="宋体" w:hint="eastAsia"/>
          <w:sz w:val="32"/>
          <w:szCs w:val="32"/>
        </w:rPr>
        <w:t>（</w:t>
      </w:r>
      <w:r w:rsidR="00FD3A15">
        <w:rPr>
          <w:rFonts w:ascii="宋体" w:hAnsi="宋体" w:cs="宋体" w:hint="eastAsia"/>
          <w:sz w:val="32"/>
          <w:szCs w:val="32"/>
        </w:rPr>
        <w:t>征求意见</w:t>
      </w:r>
      <w:r>
        <w:rPr>
          <w:rFonts w:ascii="宋体" w:hAnsi="宋体" w:cs="宋体" w:hint="eastAsia"/>
          <w:sz w:val="32"/>
          <w:szCs w:val="32"/>
        </w:rPr>
        <w:t>稿）</w:t>
      </w:r>
    </w:p>
    <w:p w14:paraId="7955D99D"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bookmarkStart w:id="6" w:name="_Toc100560670"/>
      <w:bookmarkStart w:id="7" w:name="_Toc41998681"/>
      <w:bookmarkEnd w:id="0"/>
      <w:bookmarkEnd w:id="1"/>
      <w:r>
        <w:rPr>
          <w:rFonts w:ascii="黑体" w:eastAsia="黑体" w:hAnsi="黑体" w:cs="Arial" w:hint="eastAsia"/>
          <w:b w:val="0"/>
          <w:sz w:val="21"/>
          <w:szCs w:val="21"/>
          <w:shd w:val="clear" w:color="auto" w:fill="FFFFFF"/>
        </w:rPr>
        <w:t>一、</w:t>
      </w:r>
      <w:r>
        <w:rPr>
          <w:rFonts w:ascii="黑体" w:eastAsia="黑体" w:hAnsi="黑体" w:cs="Arial"/>
          <w:b w:val="0"/>
          <w:sz w:val="21"/>
          <w:szCs w:val="21"/>
          <w:shd w:val="clear" w:color="auto" w:fill="FFFFFF"/>
        </w:rPr>
        <w:t>工作简况</w:t>
      </w:r>
      <w:bookmarkEnd w:id="6"/>
      <w:bookmarkEnd w:id="7"/>
    </w:p>
    <w:p w14:paraId="6D8A4827" w14:textId="77777777" w:rsidR="001C1073" w:rsidRDefault="005039FA" w:rsidP="0007250F">
      <w:pPr>
        <w:pStyle w:val="1"/>
        <w:spacing w:before="0" w:beforeAutospacing="0" w:after="0" w:afterAutospacing="0" w:line="380" w:lineRule="exact"/>
        <w:rPr>
          <w:rFonts w:ascii="黑体" w:eastAsia="黑体" w:hAnsi="黑体"/>
          <w:sz w:val="21"/>
          <w:szCs w:val="21"/>
        </w:rPr>
      </w:pPr>
      <w:bookmarkStart w:id="8" w:name="_Toc100560671"/>
      <w:bookmarkStart w:id="9" w:name="_Toc41998682"/>
      <w:bookmarkStart w:id="10" w:name="_Toc97638638"/>
      <w:r>
        <w:rPr>
          <w:rFonts w:ascii="黑体" w:eastAsia="黑体" w:hAnsi="黑体" w:hint="eastAsia"/>
          <w:b w:val="0"/>
          <w:bCs w:val="0"/>
          <w:sz w:val="21"/>
          <w:szCs w:val="24"/>
        </w:rPr>
        <w:t>1  任务来源</w:t>
      </w:r>
      <w:bookmarkEnd w:id="8"/>
      <w:bookmarkEnd w:id="9"/>
      <w:bookmarkEnd w:id="10"/>
    </w:p>
    <w:p w14:paraId="6CFF0490" w14:textId="77777777" w:rsidR="001C1073" w:rsidRDefault="005039FA" w:rsidP="008A5C75">
      <w:pPr>
        <w:pStyle w:val="a3"/>
        <w:snapToGrid w:val="0"/>
        <w:spacing w:before="0" w:beforeAutospacing="0" w:after="0" w:afterAutospacing="0" w:line="380" w:lineRule="exact"/>
        <w:ind w:firstLine="425"/>
        <w:jc w:val="both"/>
        <w:rPr>
          <w:rFonts w:ascii="宋体" w:eastAsia="宋体" w:hAnsi="宋体" w:cs="Times New Roman"/>
          <w:sz w:val="22"/>
          <w:szCs w:val="21"/>
        </w:rPr>
      </w:pPr>
      <w:r>
        <w:rPr>
          <w:rFonts w:ascii="Times New Roman" w:eastAsia="宋体" w:hAnsi="Times New Roman" w:cs="Times New Roman" w:hint="eastAsia"/>
          <w:bCs/>
          <w:sz w:val="21"/>
          <w:szCs w:val="21"/>
        </w:rPr>
        <w:t>本项目</w:t>
      </w:r>
      <w:r>
        <w:rPr>
          <w:rFonts w:ascii="Times New Roman" w:eastAsia="宋体" w:hAnsi="Times New Roman" w:cs="Times New Roman" w:hint="eastAsia"/>
          <w:bCs/>
          <w:sz w:val="22"/>
          <w:szCs w:val="21"/>
        </w:rPr>
        <w:t>是</w:t>
      </w:r>
      <w:r>
        <w:rPr>
          <w:rFonts w:ascii="宋体" w:eastAsia="宋体" w:hAnsi="宋体" w:cs="Times New Roman"/>
          <w:sz w:val="22"/>
          <w:szCs w:val="21"/>
        </w:rPr>
        <w:t>根据</w:t>
      </w:r>
      <w:r>
        <w:rPr>
          <w:rFonts w:ascii="Times New Roman" w:eastAsia="宋体" w:hAnsi="Times New Roman" w:cs="Times New Roman"/>
          <w:bCs/>
          <w:sz w:val="22"/>
          <w:szCs w:val="21"/>
        </w:rPr>
        <w:t>2022</w:t>
      </w:r>
      <w:r>
        <w:rPr>
          <w:rFonts w:ascii="Times New Roman" w:eastAsia="宋体" w:hAnsi="Times New Roman" w:cs="Times New Roman"/>
          <w:bCs/>
          <w:sz w:val="22"/>
          <w:szCs w:val="21"/>
        </w:rPr>
        <w:t>年</w:t>
      </w:r>
      <w:r>
        <w:rPr>
          <w:rFonts w:ascii="Times New Roman" w:eastAsia="宋体" w:hAnsi="Times New Roman" w:cs="Times New Roman"/>
          <w:bCs/>
          <w:sz w:val="22"/>
          <w:szCs w:val="21"/>
        </w:rPr>
        <w:t>3</w:t>
      </w:r>
      <w:r>
        <w:rPr>
          <w:rFonts w:ascii="Times New Roman" w:eastAsia="宋体" w:hAnsi="Times New Roman" w:cs="Times New Roman"/>
          <w:bCs/>
          <w:sz w:val="22"/>
          <w:szCs w:val="21"/>
        </w:rPr>
        <w:t>月</w:t>
      </w:r>
      <w:r>
        <w:rPr>
          <w:rFonts w:ascii="Times New Roman" w:eastAsia="宋体" w:hAnsi="Times New Roman" w:cs="Times New Roman"/>
          <w:bCs/>
          <w:sz w:val="22"/>
          <w:szCs w:val="21"/>
        </w:rPr>
        <w:t>29</w:t>
      </w:r>
      <w:r>
        <w:rPr>
          <w:rFonts w:ascii="Times New Roman" w:eastAsia="宋体" w:hAnsi="Times New Roman" w:cs="Times New Roman"/>
          <w:bCs/>
          <w:sz w:val="22"/>
          <w:szCs w:val="21"/>
        </w:rPr>
        <w:t>日</w:t>
      </w:r>
      <w:r>
        <w:rPr>
          <w:rFonts w:ascii="宋体" w:eastAsia="宋体" w:hAnsi="宋体" w:cs="Times New Roman" w:hint="eastAsia"/>
          <w:sz w:val="22"/>
          <w:szCs w:val="21"/>
        </w:rPr>
        <w:t>“中国工业</w:t>
      </w:r>
      <w:r>
        <w:rPr>
          <w:rFonts w:ascii="宋体" w:eastAsia="宋体" w:hAnsi="宋体" w:cs="Times New Roman"/>
          <w:sz w:val="22"/>
          <w:szCs w:val="21"/>
        </w:rPr>
        <w:t>节能与清洁生产协会</w:t>
      </w:r>
      <w:r>
        <w:rPr>
          <w:rFonts w:ascii="宋体" w:eastAsia="宋体" w:hAnsi="宋体" w:cs="Times New Roman" w:hint="eastAsia"/>
          <w:sz w:val="22"/>
          <w:szCs w:val="21"/>
        </w:rPr>
        <w:t>团体标准立项的</w:t>
      </w:r>
      <w:r>
        <w:rPr>
          <w:rFonts w:ascii="宋体" w:eastAsia="宋体" w:hAnsi="宋体" w:cs="Times New Roman"/>
          <w:sz w:val="22"/>
          <w:szCs w:val="21"/>
        </w:rPr>
        <w:t>通知</w:t>
      </w:r>
      <w:r>
        <w:rPr>
          <w:rFonts w:ascii="宋体" w:eastAsia="宋体" w:hAnsi="宋体" w:cs="Times New Roman" w:hint="eastAsia"/>
          <w:sz w:val="22"/>
          <w:szCs w:val="21"/>
        </w:rPr>
        <w:t>”进行制定</w:t>
      </w:r>
      <w:r>
        <w:rPr>
          <w:rFonts w:ascii="宋体" w:eastAsia="宋体" w:hAnsi="宋体" w:cs="Times New Roman"/>
          <w:sz w:val="22"/>
          <w:szCs w:val="21"/>
        </w:rPr>
        <w:t>，</w:t>
      </w:r>
      <w:r>
        <w:rPr>
          <w:rFonts w:ascii="宋体" w:eastAsia="宋体" w:hAnsi="宋体" w:cs="Times New Roman" w:hint="eastAsia"/>
          <w:sz w:val="22"/>
          <w:szCs w:val="21"/>
        </w:rPr>
        <w:t>项目名称：“香榧与香榧加工产品碳足迹评估方法”，本文件由中国工业</w:t>
      </w:r>
      <w:r>
        <w:rPr>
          <w:rFonts w:ascii="宋体" w:eastAsia="宋体" w:hAnsi="宋体" w:cs="Times New Roman"/>
          <w:sz w:val="22"/>
          <w:szCs w:val="21"/>
        </w:rPr>
        <w:t>节能与清洁生产协会</w:t>
      </w:r>
      <w:r>
        <w:rPr>
          <w:rFonts w:ascii="宋体" w:eastAsia="宋体" w:hAnsi="宋体" w:cs="Times New Roman" w:hint="eastAsia"/>
          <w:sz w:val="22"/>
          <w:szCs w:val="21"/>
        </w:rPr>
        <w:t>提出并</w:t>
      </w:r>
      <w:r>
        <w:rPr>
          <w:rFonts w:ascii="宋体" w:eastAsia="宋体" w:hAnsi="宋体" w:cs="Times New Roman"/>
          <w:sz w:val="22"/>
          <w:szCs w:val="21"/>
        </w:rPr>
        <w:t>归口，</w:t>
      </w:r>
      <w:r>
        <w:rPr>
          <w:rFonts w:ascii="宋体" w:eastAsia="宋体" w:hAnsi="宋体" w:cs="Times New Roman" w:hint="eastAsia"/>
          <w:sz w:val="22"/>
          <w:szCs w:val="21"/>
        </w:rPr>
        <w:t>起草牵头单位：浙江菲达环保科技股份有限公司</w:t>
      </w:r>
      <w:r>
        <w:rPr>
          <w:rFonts w:ascii="宋体" w:eastAsia="宋体" w:hAnsi="宋体" w:cs="Times New Roman"/>
          <w:sz w:val="22"/>
          <w:szCs w:val="21"/>
        </w:rPr>
        <w:t>。</w:t>
      </w:r>
    </w:p>
    <w:p w14:paraId="0E5F0705" w14:textId="77777777" w:rsidR="001C1073" w:rsidRDefault="005039FA">
      <w:pPr>
        <w:pStyle w:val="1"/>
        <w:spacing w:before="0" w:beforeAutospacing="0" w:after="0" w:afterAutospacing="0" w:line="380" w:lineRule="exact"/>
        <w:rPr>
          <w:rFonts w:ascii="黑体" w:eastAsia="黑体" w:hAnsi="黑体"/>
          <w:b w:val="0"/>
          <w:bCs w:val="0"/>
          <w:sz w:val="21"/>
          <w:szCs w:val="24"/>
        </w:rPr>
      </w:pPr>
      <w:bookmarkStart w:id="11" w:name="_Toc97638639"/>
      <w:bookmarkStart w:id="12" w:name="_Toc100560672"/>
      <w:bookmarkStart w:id="13" w:name="_Toc41998683"/>
      <w:r>
        <w:rPr>
          <w:rFonts w:ascii="黑体" w:eastAsia="黑体" w:hAnsi="黑体"/>
          <w:b w:val="0"/>
          <w:bCs w:val="0"/>
          <w:sz w:val="22"/>
          <w:szCs w:val="24"/>
        </w:rPr>
        <w:t>2</w:t>
      </w:r>
      <w:r>
        <w:rPr>
          <w:rFonts w:ascii="黑体" w:eastAsia="黑体" w:hAnsi="黑体" w:hint="eastAsia"/>
          <w:b w:val="0"/>
          <w:bCs w:val="0"/>
          <w:sz w:val="22"/>
          <w:szCs w:val="24"/>
        </w:rPr>
        <w:t xml:space="preserve">  主要工作</w:t>
      </w:r>
      <w:r>
        <w:rPr>
          <w:rFonts w:ascii="黑体" w:eastAsia="黑体" w:hAnsi="黑体"/>
          <w:b w:val="0"/>
          <w:bCs w:val="0"/>
          <w:sz w:val="21"/>
          <w:szCs w:val="24"/>
        </w:rPr>
        <w:t>过程</w:t>
      </w:r>
      <w:bookmarkEnd w:id="11"/>
      <w:bookmarkEnd w:id="12"/>
      <w:bookmarkEnd w:id="13"/>
    </w:p>
    <w:p w14:paraId="6E9D0449" w14:textId="77777777" w:rsidR="001C1073" w:rsidRDefault="005039FA">
      <w:pPr>
        <w:pStyle w:val="a3"/>
        <w:snapToGrid w:val="0"/>
        <w:spacing w:before="0" w:beforeAutospacing="0" w:after="0" w:afterAutospacing="0" w:line="380" w:lineRule="exact"/>
        <w:ind w:firstLine="425"/>
        <w:jc w:val="both"/>
        <w:rPr>
          <w:rFonts w:ascii="宋体" w:eastAsia="宋体" w:hAnsi="宋体" w:cs="Times New Roman"/>
          <w:b/>
          <w:bCs/>
          <w:sz w:val="21"/>
          <w:szCs w:val="21"/>
        </w:rPr>
      </w:pPr>
      <w:r>
        <w:rPr>
          <w:rFonts w:ascii="宋体" w:eastAsia="宋体" w:hAnsi="宋体" w:cs="Times New Roman"/>
          <w:b/>
          <w:bCs/>
          <w:sz w:val="21"/>
          <w:szCs w:val="21"/>
        </w:rPr>
        <w:t>起草阶段：</w:t>
      </w:r>
    </w:p>
    <w:p w14:paraId="18BA4A93" w14:textId="77777777" w:rsidR="001C1073" w:rsidRDefault="005039FA">
      <w:pPr>
        <w:pStyle w:val="a3"/>
        <w:snapToGrid w:val="0"/>
        <w:spacing w:before="0" w:beforeAutospacing="0" w:after="0" w:afterAutospacing="0" w:line="380" w:lineRule="exact"/>
        <w:ind w:firstLine="425"/>
        <w:jc w:val="both"/>
        <w:rPr>
          <w:rFonts w:ascii="宋体" w:eastAsia="宋体" w:hAnsi="宋体" w:cs="Times New Roman"/>
          <w:sz w:val="21"/>
          <w:szCs w:val="21"/>
        </w:rPr>
      </w:pPr>
      <w:r>
        <w:rPr>
          <w:rFonts w:ascii="Times New Roman" w:eastAsia="宋体" w:hAnsi="Times New Roman" w:cs="Times New Roman"/>
          <w:sz w:val="21"/>
          <w:szCs w:val="21"/>
        </w:rPr>
        <w:t>2022</w:t>
      </w:r>
      <w:r>
        <w:rPr>
          <w:rFonts w:ascii="宋体" w:eastAsia="宋体" w:hAnsi="宋体" w:cs="Times New Roman"/>
          <w:sz w:val="21"/>
          <w:szCs w:val="21"/>
        </w:rPr>
        <w:t>年</w:t>
      </w:r>
      <w:r>
        <w:rPr>
          <w:rFonts w:ascii="Times New Roman" w:eastAsia="宋体" w:hAnsi="Times New Roman" w:cs="Times New Roman"/>
          <w:sz w:val="21"/>
          <w:szCs w:val="21"/>
        </w:rPr>
        <w:t>3</w:t>
      </w:r>
      <w:r>
        <w:rPr>
          <w:rFonts w:ascii="宋体" w:eastAsia="宋体" w:hAnsi="宋体" w:cs="Times New Roman"/>
          <w:sz w:val="21"/>
          <w:szCs w:val="21"/>
        </w:rPr>
        <w:t>月</w:t>
      </w:r>
      <w:r w:rsidRPr="009A489E">
        <w:rPr>
          <w:rFonts w:ascii="Times New Roman" w:eastAsia="宋体" w:hAnsi="Times New Roman" w:cs="Times New Roman"/>
          <w:sz w:val="21"/>
          <w:szCs w:val="21"/>
        </w:rPr>
        <w:t>29</w:t>
      </w:r>
      <w:r>
        <w:rPr>
          <w:rFonts w:ascii="宋体" w:eastAsia="宋体" w:hAnsi="宋体" w:cs="Times New Roman"/>
          <w:sz w:val="21"/>
          <w:szCs w:val="21"/>
        </w:rPr>
        <w:t>日，成立标准制定工作组，明确进度安排。</w:t>
      </w:r>
    </w:p>
    <w:p w14:paraId="3DCBAC2A" w14:textId="77777777" w:rsidR="001C1073" w:rsidRDefault="005039FA">
      <w:pPr>
        <w:pStyle w:val="a3"/>
        <w:snapToGrid w:val="0"/>
        <w:spacing w:before="0" w:beforeAutospacing="0" w:after="0" w:afterAutospacing="0" w:line="380" w:lineRule="exact"/>
        <w:ind w:firstLine="425"/>
        <w:jc w:val="both"/>
        <w:rPr>
          <w:rFonts w:ascii="宋体" w:eastAsia="宋体" w:hAnsi="宋体" w:cs="Times New Roman"/>
          <w:sz w:val="21"/>
          <w:szCs w:val="21"/>
        </w:rPr>
      </w:pPr>
      <w:r>
        <w:rPr>
          <w:rFonts w:ascii="Times New Roman" w:eastAsia="宋体" w:hAnsi="Times New Roman" w:cs="Times New Roman"/>
          <w:sz w:val="21"/>
          <w:szCs w:val="21"/>
        </w:rPr>
        <w:t>2022</w:t>
      </w:r>
      <w:r>
        <w:rPr>
          <w:rFonts w:ascii="宋体" w:eastAsia="宋体" w:hAnsi="宋体" w:cs="Times New Roman"/>
          <w:sz w:val="21"/>
          <w:szCs w:val="21"/>
        </w:rPr>
        <w:t>年</w:t>
      </w:r>
      <w:r>
        <w:rPr>
          <w:rFonts w:ascii="Times New Roman" w:eastAsia="宋体" w:hAnsi="Times New Roman" w:cs="Times New Roman"/>
          <w:sz w:val="21"/>
          <w:szCs w:val="21"/>
        </w:rPr>
        <w:t>3</w:t>
      </w:r>
      <w:r>
        <w:rPr>
          <w:rFonts w:ascii="宋体" w:eastAsia="宋体" w:hAnsi="宋体" w:cs="Times New Roman"/>
          <w:sz w:val="21"/>
          <w:szCs w:val="21"/>
        </w:rPr>
        <w:t>月</w:t>
      </w:r>
      <w:r>
        <w:rPr>
          <w:rFonts w:ascii="Times New Roman" w:eastAsia="宋体" w:hAnsi="Times New Roman" w:cs="Times New Roman"/>
          <w:sz w:val="21"/>
          <w:szCs w:val="21"/>
        </w:rPr>
        <w:t>29</w:t>
      </w:r>
      <w:r>
        <w:rPr>
          <w:rFonts w:ascii="宋体" w:eastAsia="宋体" w:hAnsi="宋体" w:cs="Times New Roman"/>
          <w:sz w:val="21"/>
          <w:szCs w:val="21"/>
        </w:rPr>
        <w:t>日</w:t>
      </w:r>
      <w:r>
        <w:rPr>
          <w:rFonts w:ascii="Times New Roman" w:eastAsia="宋体" w:hAnsi="Times New Roman" w:cs="Times New Roman"/>
          <w:sz w:val="21"/>
          <w:szCs w:val="21"/>
        </w:rPr>
        <w:t>～</w:t>
      </w:r>
      <w:r>
        <w:rPr>
          <w:rFonts w:ascii="Times New Roman" w:eastAsia="宋体" w:hAnsi="Times New Roman" w:cs="Times New Roman"/>
          <w:sz w:val="21"/>
          <w:szCs w:val="21"/>
        </w:rPr>
        <w:t>2022</w:t>
      </w:r>
      <w:r>
        <w:rPr>
          <w:rFonts w:ascii="宋体" w:eastAsia="宋体" w:hAnsi="宋体" w:cs="Times New Roman"/>
          <w:sz w:val="21"/>
          <w:szCs w:val="21"/>
        </w:rPr>
        <w:t xml:space="preserve"> 年</w:t>
      </w:r>
      <w:r>
        <w:rPr>
          <w:rFonts w:ascii="Times New Roman" w:eastAsia="宋体" w:hAnsi="Times New Roman" w:cs="Times New Roman" w:hint="eastAsia"/>
          <w:sz w:val="21"/>
          <w:szCs w:val="21"/>
        </w:rPr>
        <w:t>4</w:t>
      </w:r>
      <w:r>
        <w:rPr>
          <w:rFonts w:ascii="宋体" w:eastAsia="宋体" w:hAnsi="宋体" w:cs="Times New Roman"/>
          <w:sz w:val="21"/>
          <w:szCs w:val="21"/>
        </w:rPr>
        <w:t>月</w:t>
      </w:r>
      <w:r>
        <w:rPr>
          <w:rFonts w:ascii="Times New Roman" w:eastAsia="宋体" w:hAnsi="Times New Roman" w:cs="Times New Roman" w:hint="eastAsia"/>
          <w:sz w:val="21"/>
          <w:szCs w:val="21"/>
        </w:rPr>
        <w:t>28</w:t>
      </w:r>
      <w:r>
        <w:rPr>
          <w:rFonts w:ascii="宋体" w:eastAsia="宋体" w:hAnsi="宋体" w:cs="Times New Roman"/>
          <w:sz w:val="21"/>
          <w:szCs w:val="21"/>
        </w:rPr>
        <w:t>日，</w:t>
      </w:r>
      <w:r>
        <w:rPr>
          <w:rFonts w:ascii="宋体" w:eastAsia="宋体" w:hAnsi="宋体" w:cs="Times New Roman" w:hint="eastAsia"/>
          <w:sz w:val="21"/>
          <w:szCs w:val="21"/>
        </w:rPr>
        <w:t>浙江菲达环保科技股份有限公司</w:t>
      </w:r>
      <w:r>
        <w:rPr>
          <w:rFonts w:ascii="宋体" w:eastAsia="宋体" w:hAnsi="宋体" w:cs="Times New Roman"/>
          <w:sz w:val="21"/>
          <w:szCs w:val="21"/>
        </w:rPr>
        <w:t>完成</w:t>
      </w:r>
      <w:r>
        <w:rPr>
          <w:rFonts w:ascii="宋体" w:eastAsia="宋体" w:hAnsi="宋体" w:cs="Times New Roman" w:hint="eastAsia"/>
          <w:sz w:val="21"/>
          <w:szCs w:val="21"/>
        </w:rPr>
        <w:t>标准、数据等</w:t>
      </w:r>
      <w:r>
        <w:rPr>
          <w:rFonts w:ascii="宋体" w:eastAsia="宋体" w:hAnsi="宋体" w:cs="Times New Roman"/>
          <w:sz w:val="21"/>
          <w:szCs w:val="21"/>
        </w:rPr>
        <w:t>资料</w:t>
      </w:r>
      <w:r>
        <w:rPr>
          <w:rFonts w:ascii="宋体" w:eastAsia="宋体" w:hAnsi="宋体" w:cs="Times New Roman" w:hint="eastAsia"/>
          <w:sz w:val="21"/>
          <w:szCs w:val="21"/>
        </w:rPr>
        <w:t>的</w:t>
      </w:r>
      <w:r>
        <w:rPr>
          <w:rFonts w:ascii="宋体" w:eastAsia="宋体" w:hAnsi="宋体" w:cs="Times New Roman"/>
          <w:sz w:val="21"/>
          <w:szCs w:val="21"/>
        </w:rPr>
        <w:t>收集、整理，形成</w:t>
      </w:r>
      <w:r>
        <w:rPr>
          <w:rFonts w:ascii="宋体" w:eastAsia="宋体" w:hAnsi="宋体" w:cs="Times New Roman" w:hint="eastAsia"/>
          <w:sz w:val="21"/>
          <w:szCs w:val="21"/>
        </w:rPr>
        <w:t>团体</w:t>
      </w:r>
      <w:r>
        <w:rPr>
          <w:rFonts w:ascii="宋体" w:eastAsia="宋体" w:hAnsi="宋体" w:cs="Times New Roman"/>
          <w:sz w:val="21"/>
          <w:szCs w:val="21"/>
        </w:rPr>
        <w:t>标准《</w:t>
      </w:r>
      <w:r>
        <w:rPr>
          <w:rFonts w:ascii="宋体" w:eastAsia="宋体" w:hAnsi="宋体" w:cs="Times New Roman" w:hint="eastAsia"/>
          <w:sz w:val="21"/>
          <w:szCs w:val="21"/>
        </w:rPr>
        <w:t>香榧与香榧加工产品碳足迹评估方法</w:t>
      </w:r>
      <w:r>
        <w:rPr>
          <w:rFonts w:ascii="宋体" w:eastAsia="宋体" w:hAnsi="宋体" w:cs="Times New Roman"/>
          <w:sz w:val="21"/>
          <w:szCs w:val="21"/>
        </w:rPr>
        <w:t>》（</w:t>
      </w:r>
      <w:r>
        <w:rPr>
          <w:rFonts w:ascii="宋体" w:eastAsia="宋体" w:hAnsi="宋体" w:cs="Times New Roman" w:hint="eastAsia"/>
          <w:sz w:val="21"/>
          <w:szCs w:val="21"/>
        </w:rPr>
        <w:t>初稿</w:t>
      </w:r>
      <w:r>
        <w:rPr>
          <w:rFonts w:ascii="宋体" w:eastAsia="宋体" w:hAnsi="宋体" w:cs="Times New Roman"/>
          <w:sz w:val="21"/>
          <w:szCs w:val="21"/>
        </w:rPr>
        <w:t>）</w:t>
      </w:r>
      <w:r>
        <w:rPr>
          <w:rFonts w:ascii="宋体" w:eastAsia="宋体" w:hAnsi="宋体" w:cs="Times New Roman" w:hint="eastAsia"/>
          <w:sz w:val="21"/>
          <w:szCs w:val="21"/>
        </w:rPr>
        <w:t>及编制说明</w:t>
      </w:r>
      <w:r>
        <w:rPr>
          <w:rFonts w:ascii="宋体" w:eastAsia="宋体" w:hAnsi="宋体" w:cs="Times New Roman"/>
          <w:sz w:val="21"/>
          <w:szCs w:val="21"/>
        </w:rPr>
        <w:t>。</w:t>
      </w:r>
    </w:p>
    <w:p w14:paraId="49989B07" w14:textId="77777777" w:rsidR="001C1073" w:rsidRDefault="005039FA">
      <w:pPr>
        <w:spacing w:line="380" w:lineRule="exact"/>
        <w:ind w:firstLineChars="200" w:firstLine="420"/>
        <w:rPr>
          <w:szCs w:val="21"/>
        </w:rPr>
      </w:pPr>
      <w:r>
        <w:rPr>
          <w:rFonts w:hint="eastAsia"/>
          <w:szCs w:val="21"/>
        </w:rPr>
        <w:t>2022</w:t>
      </w:r>
      <w:r>
        <w:rPr>
          <w:rFonts w:hint="eastAsia"/>
          <w:szCs w:val="21"/>
        </w:rPr>
        <w:t>年</w:t>
      </w:r>
      <w:r>
        <w:rPr>
          <w:rFonts w:hint="eastAsia"/>
          <w:szCs w:val="21"/>
        </w:rPr>
        <w:t>4</w:t>
      </w:r>
      <w:r>
        <w:rPr>
          <w:rFonts w:hint="eastAsia"/>
          <w:szCs w:val="21"/>
        </w:rPr>
        <w:t>月</w:t>
      </w:r>
      <w:r>
        <w:rPr>
          <w:rFonts w:hint="eastAsia"/>
          <w:szCs w:val="21"/>
        </w:rPr>
        <w:t>29</w:t>
      </w:r>
      <w:r>
        <w:rPr>
          <w:rFonts w:hint="eastAsia"/>
          <w:szCs w:val="21"/>
        </w:rPr>
        <w:t>日</w:t>
      </w:r>
      <w:r>
        <w:rPr>
          <w:rFonts w:hint="eastAsia"/>
          <w:szCs w:val="21"/>
        </w:rPr>
        <w:t>~5</w:t>
      </w:r>
      <w:r>
        <w:rPr>
          <w:rFonts w:hint="eastAsia"/>
          <w:szCs w:val="21"/>
        </w:rPr>
        <w:t>月</w:t>
      </w:r>
      <w:r w:rsidR="007F481D">
        <w:rPr>
          <w:rFonts w:hint="eastAsia"/>
          <w:szCs w:val="21"/>
        </w:rPr>
        <w:t>1</w:t>
      </w:r>
      <w:r w:rsidR="000A675F">
        <w:rPr>
          <w:rFonts w:hint="eastAsia"/>
          <w:szCs w:val="21"/>
        </w:rPr>
        <w:t>0</w:t>
      </w:r>
      <w:r>
        <w:rPr>
          <w:rFonts w:hint="eastAsia"/>
          <w:szCs w:val="21"/>
        </w:rPr>
        <w:t>日，对团体标准《</w:t>
      </w:r>
      <w:r>
        <w:rPr>
          <w:rFonts w:ascii="宋体" w:hAnsi="宋体" w:hint="eastAsia"/>
          <w:szCs w:val="21"/>
        </w:rPr>
        <w:t>香榧与香榧加工产品碳足迹评估方法</w:t>
      </w:r>
      <w:r>
        <w:rPr>
          <w:rFonts w:hint="eastAsia"/>
          <w:szCs w:val="21"/>
        </w:rPr>
        <w:t>》</w:t>
      </w:r>
      <w:r>
        <w:rPr>
          <w:rFonts w:hint="eastAsia"/>
          <w:szCs w:val="21"/>
        </w:rPr>
        <w:t>(</w:t>
      </w:r>
      <w:r>
        <w:rPr>
          <w:rFonts w:hint="eastAsia"/>
          <w:szCs w:val="21"/>
        </w:rPr>
        <w:t>初稿</w:t>
      </w:r>
      <w:r>
        <w:rPr>
          <w:rFonts w:hint="eastAsia"/>
          <w:szCs w:val="21"/>
        </w:rPr>
        <w:t>)</w:t>
      </w:r>
      <w:r>
        <w:rPr>
          <w:rFonts w:hint="eastAsia"/>
          <w:szCs w:val="21"/>
        </w:rPr>
        <w:t>及编制说明进行了标准制定组内部及相关专家函审，共提出</w:t>
      </w:r>
      <w:r>
        <w:rPr>
          <w:rFonts w:hint="eastAsia"/>
          <w:szCs w:val="21"/>
        </w:rPr>
        <w:t>1</w:t>
      </w:r>
      <w:r w:rsidR="007F481D">
        <w:rPr>
          <w:rFonts w:hint="eastAsia"/>
          <w:szCs w:val="21"/>
        </w:rPr>
        <w:t>9</w:t>
      </w:r>
      <w:r>
        <w:rPr>
          <w:rFonts w:hint="eastAsia"/>
          <w:szCs w:val="21"/>
        </w:rPr>
        <w:t>条修改意见。其中，采纳</w:t>
      </w:r>
      <w:r>
        <w:rPr>
          <w:rFonts w:hint="eastAsia"/>
          <w:szCs w:val="21"/>
        </w:rPr>
        <w:t>1</w:t>
      </w:r>
      <w:r w:rsidR="007F481D">
        <w:rPr>
          <w:rFonts w:hint="eastAsia"/>
          <w:szCs w:val="21"/>
        </w:rPr>
        <w:t>7</w:t>
      </w:r>
      <w:r>
        <w:rPr>
          <w:rFonts w:hint="eastAsia"/>
          <w:szCs w:val="21"/>
        </w:rPr>
        <w:t>条，未采纳</w:t>
      </w:r>
      <w:r w:rsidR="003F6561">
        <w:rPr>
          <w:rFonts w:hint="eastAsia"/>
          <w:szCs w:val="21"/>
        </w:rPr>
        <w:t>1</w:t>
      </w:r>
      <w:r>
        <w:rPr>
          <w:rFonts w:hint="eastAsia"/>
          <w:szCs w:val="21"/>
        </w:rPr>
        <w:t>条</w:t>
      </w:r>
      <w:r w:rsidR="003F6561">
        <w:rPr>
          <w:rFonts w:hint="eastAsia"/>
          <w:szCs w:val="21"/>
        </w:rPr>
        <w:t>，会议讨论</w:t>
      </w:r>
      <w:r w:rsidR="003F6561">
        <w:rPr>
          <w:rFonts w:hint="eastAsia"/>
          <w:szCs w:val="21"/>
        </w:rPr>
        <w:t>1</w:t>
      </w:r>
      <w:r w:rsidR="003F6561">
        <w:rPr>
          <w:rFonts w:hint="eastAsia"/>
          <w:szCs w:val="21"/>
        </w:rPr>
        <w:t>条</w:t>
      </w:r>
      <w:r>
        <w:rPr>
          <w:rFonts w:hint="eastAsia"/>
          <w:szCs w:val="21"/>
        </w:rPr>
        <w:t>。根据各位专家提出的建议，</w:t>
      </w:r>
      <w:r w:rsidR="000A675F">
        <w:rPr>
          <w:rFonts w:hint="eastAsia"/>
          <w:szCs w:val="21"/>
        </w:rPr>
        <w:t>结合</w:t>
      </w:r>
      <w:r w:rsidR="00B35152">
        <w:rPr>
          <w:rFonts w:hint="eastAsia"/>
          <w:szCs w:val="21"/>
        </w:rPr>
        <w:t>工作组内部讨论</w:t>
      </w:r>
      <w:r w:rsidR="000A675F">
        <w:rPr>
          <w:rFonts w:hint="eastAsia"/>
          <w:szCs w:val="21"/>
        </w:rPr>
        <w:t>，</w:t>
      </w:r>
      <w:r>
        <w:rPr>
          <w:rFonts w:hint="eastAsia"/>
          <w:szCs w:val="21"/>
        </w:rPr>
        <w:t>主要修改内容为：</w:t>
      </w:r>
      <w:r>
        <w:rPr>
          <w:rFonts w:hint="eastAsia"/>
          <w:szCs w:val="21"/>
        </w:rPr>
        <w:t>3.1</w:t>
      </w:r>
      <w:r>
        <w:rPr>
          <w:rFonts w:hint="eastAsia"/>
          <w:szCs w:val="21"/>
        </w:rPr>
        <w:t>香榧和</w:t>
      </w:r>
      <w:r>
        <w:rPr>
          <w:rFonts w:hint="eastAsia"/>
          <w:szCs w:val="21"/>
        </w:rPr>
        <w:t>3.2</w:t>
      </w:r>
      <w:r>
        <w:rPr>
          <w:rFonts w:hint="eastAsia"/>
          <w:szCs w:val="21"/>
        </w:rPr>
        <w:t>香榧加工产品的术语修改；术语</w:t>
      </w:r>
      <w:r>
        <w:rPr>
          <w:rFonts w:hint="eastAsia"/>
          <w:szCs w:val="21"/>
        </w:rPr>
        <w:t>3.9</w:t>
      </w:r>
      <w:r>
        <w:rPr>
          <w:rFonts w:hint="eastAsia"/>
          <w:szCs w:val="21"/>
        </w:rPr>
        <w:t>全球变暖潜力术语的英文翻译，做了完善统一；修改系统边界</w:t>
      </w:r>
      <w:r w:rsidR="000A675F">
        <w:rPr>
          <w:rFonts w:hint="eastAsia"/>
          <w:szCs w:val="21"/>
        </w:rPr>
        <w:t>中的不准确的描述</w:t>
      </w:r>
      <w:r>
        <w:rPr>
          <w:rFonts w:hint="eastAsia"/>
          <w:szCs w:val="21"/>
        </w:rPr>
        <w:t>，增加农业专有名词，完善</w:t>
      </w:r>
      <w:r w:rsidR="000A675F">
        <w:rPr>
          <w:rFonts w:hint="eastAsia"/>
          <w:szCs w:val="21"/>
        </w:rPr>
        <w:t>边界划分</w:t>
      </w:r>
      <w:r>
        <w:rPr>
          <w:rFonts w:hint="eastAsia"/>
          <w:szCs w:val="21"/>
        </w:rPr>
        <w:t>；增加循环再利用环境收益计算的案例；</w:t>
      </w:r>
      <w:r>
        <w:rPr>
          <w:rFonts w:hint="eastAsia"/>
          <w:szCs w:val="21"/>
        </w:rPr>
        <w:t>CO</w:t>
      </w:r>
      <w:r w:rsidRPr="009A489E">
        <w:rPr>
          <w:szCs w:val="21"/>
          <w:vertAlign w:val="subscript"/>
        </w:rPr>
        <w:t>2</w:t>
      </w:r>
      <w:r>
        <w:rPr>
          <w:rFonts w:hint="eastAsia"/>
          <w:szCs w:val="21"/>
        </w:rPr>
        <w:t>作为首要调查对象，对附录</w:t>
      </w:r>
      <w:r>
        <w:rPr>
          <w:rFonts w:hint="eastAsia"/>
          <w:szCs w:val="21"/>
        </w:rPr>
        <w:t>A</w:t>
      </w:r>
      <w:r>
        <w:rPr>
          <w:rFonts w:hint="eastAsia"/>
          <w:szCs w:val="21"/>
        </w:rPr>
        <w:t>的表</w:t>
      </w:r>
      <w:r>
        <w:rPr>
          <w:rFonts w:hint="eastAsia"/>
          <w:szCs w:val="21"/>
        </w:rPr>
        <w:t>A.1</w:t>
      </w:r>
      <w:r>
        <w:rPr>
          <w:rFonts w:hint="eastAsia"/>
          <w:szCs w:val="21"/>
        </w:rPr>
        <w:t>进行调整。修改和完善后于</w:t>
      </w:r>
      <w:r>
        <w:rPr>
          <w:rFonts w:hint="eastAsia"/>
          <w:szCs w:val="21"/>
        </w:rPr>
        <w:t>5</w:t>
      </w:r>
      <w:r>
        <w:rPr>
          <w:rFonts w:hint="eastAsia"/>
          <w:szCs w:val="21"/>
        </w:rPr>
        <w:t>月</w:t>
      </w:r>
      <w:r>
        <w:rPr>
          <w:rFonts w:hint="eastAsia"/>
          <w:szCs w:val="21"/>
        </w:rPr>
        <w:t>1</w:t>
      </w:r>
      <w:r w:rsidR="007F481D">
        <w:rPr>
          <w:rFonts w:hint="eastAsia"/>
          <w:szCs w:val="21"/>
        </w:rPr>
        <w:t>1</w:t>
      </w:r>
      <w:r>
        <w:rPr>
          <w:rFonts w:hint="eastAsia"/>
          <w:szCs w:val="21"/>
        </w:rPr>
        <w:t>日形成团体标准《</w:t>
      </w:r>
      <w:r>
        <w:rPr>
          <w:rFonts w:ascii="宋体" w:hAnsi="宋体" w:hint="eastAsia"/>
          <w:szCs w:val="21"/>
        </w:rPr>
        <w:t>香榧与香榧加工产品碳足迹评估方法</w:t>
      </w:r>
      <w:r>
        <w:rPr>
          <w:rFonts w:hint="eastAsia"/>
          <w:szCs w:val="21"/>
        </w:rPr>
        <w:t>》（研讨稿）及编制说明。</w:t>
      </w:r>
    </w:p>
    <w:p w14:paraId="7E80383A" w14:textId="33A87B33" w:rsidR="001C1073" w:rsidRDefault="005039FA">
      <w:pPr>
        <w:spacing w:line="380" w:lineRule="exact"/>
        <w:ind w:firstLineChars="200" w:firstLine="420"/>
        <w:rPr>
          <w:kern w:val="0"/>
          <w:szCs w:val="21"/>
        </w:rPr>
      </w:pPr>
      <w:r>
        <w:rPr>
          <w:rFonts w:hint="eastAsia"/>
          <w:szCs w:val="21"/>
        </w:rPr>
        <w:t>2022</w:t>
      </w:r>
      <w:r>
        <w:rPr>
          <w:rFonts w:hint="eastAsia"/>
          <w:szCs w:val="21"/>
        </w:rPr>
        <w:t>年</w:t>
      </w:r>
      <w:r>
        <w:rPr>
          <w:rFonts w:hint="eastAsia"/>
          <w:szCs w:val="21"/>
        </w:rPr>
        <w:t>5</w:t>
      </w:r>
      <w:r>
        <w:rPr>
          <w:rFonts w:hint="eastAsia"/>
          <w:szCs w:val="21"/>
        </w:rPr>
        <w:t>月</w:t>
      </w:r>
      <w:r>
        <w:rPr>
          <w:rFonts w:hint="eastAsia"/>
          <w:szCs w:val="21"/>
        </w:rPr>
        <w:t>13</w:t>
      </w:r>
      <w:r>
        <w:rPr>
          <w:rFonts w:hint="eastAsia"/>
          <w:szCs w:val="21"/>
        </w:rPr>
        <w:t>日，在中国工业节能与清洁生产协会组织召开团体标准《</w:t>
      </w:r>
      <w:r>
        <w:rPr>
          <w:rFonts w:ascii="宋体" w:hAnsi="宋体" w:hint="eastAsia"/>
          <w:szCs w:val="21"/>
        </w:rPr>
        <w:t>香榧与香榧加工产品碳足迹评估方法</w:t>
      </w:r>
      <w:r>
        <w:rPr>
          <w:rFonts w:hint="eastAsia"/>
          <w:szCs w:val="21"/>
        </w:rPr>
        <w:t>》（研讨稿）研讨会，根据会议意见，对标准“研讨稿”进行修改和完善，于</w:t>
      </w:r>
      <w:r w:rsidR="002C3629">
        <w:rPr>
          <w:szCs w:val="21"/>
        </w:rPr>
        <w:t>5</w:t>
      </w:r>
      <w:r w:rsidR="002C3629">
        <w:rPr>
          <w:rFonts w:hint="eastAsia"/>
          <w:szCs w:val="21"/>
        </w:rPr>
        <w:t xml:space="preserve"> </w:t>
      </w:r>
      <w:r>
        <w:rPr>
          <w:rFonts w:hint="eastAsia"/>
          <w:szCs w:val="21"/>
        </w:rPr>
        <w:t>月</w:t>
      </w:r>
      <w:r>
        <w:rPr>
          <w:rFonts w:hint="eastAsia"/>
          <w:szCs w:val="21"/>
        </w:rPr>
        <w:t xml:space="preserve"> </w:t>
      </w:r>
      <w:r w:rsidR="002C3629">
        <w:rPr>
          <w:szCs w:val="21"/>
        </w:rPr>
        <w:t>23</w:t>
      </w:r>
      <w:r>
        <w:rPr>
          <w:rFonts w:hint="eastAsia"/>
          <w:szCs w:val="21"/>
        </w:rPr>
        <w:t>日形成团体标准《</w:t>
      </w:r>
      <w:r>
        <w:rPr>
          <w:rFonts w:ascii="宋体" w:hAnsi="宋体" w:hint="eastAsia"/>
          <w:szCs w:val="21"/>
        </w:rPr>
        <w:t>香榧与香榧加工产品碳足迹评估方法</w:t>
      </w:r>
      <w:r>
        <w:rPr>
          <w:rFonts w:hint="eastAsia"/>
          <w:szCs w:val="21"/>
        </w:rPr>
        <w:t>》（征求意见稿）及编制说明。</w:t>
      </w:r>
    </w:p>
    <w:p w14:paraId="17F9FD5D" w14:textId="77777777" w:rsidR="001C1073" w:rsidRDefault="005039FA">
      <w:pPr>
        <w:pStyle w:val="ac"/>
        <w:tabs>
          <w:tab w:val="center" w:pos="4201"/>
          <w:tab w:val="right" w:leader="dot" w:pos="9298"/>
        </w:tabs>
        <w:spacing w:line="380" w:lineRule="exact"/>
        <w:ind w:firstLine="438"/>
        <w:rPr>
          <w:rFonts w:asciiTheme="minorEastAsia" w:eastAsiaTheme="minorEastAsia" w:hAnsiTheme="minorEastAsia"/>
          <w:szCs w:val="21"/>
        </w:rPr>
      </w:pPr>
      <w:r>
        <w:rPr>
          <w:rFonts w:asciiTheme="minorEastAsia" w:eastAsiaTheme="minorEastAsia" w:hAnsiTheme="minorEastAsia" w:hint="eastAsia"/>
          <w:b/>
          <w:szCs w:val="21"/>
        </w:rPr>
        <w:t>征求意见阶段：</w:t>
      </w:r>
    </w:p>
    <w:p w14:paraId="6C7988A9" w14:textId="77777777" w:rsidR="001C1073" w:rsidRDefault="005039FA">
      <w:pPr>
        <w:spacing w:line="38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审查阶段：</w:t>
      </w:r>
    </w:p>
    <w:p w14:paraId="0D7CBE39" w14:textId="77777777" w:rsidR="001C1073" w:rsidRDefault="005039FA">
      <w:pPr>
        <w:pStyle w:val="ac"/>
        <w:tabs>
          <w:tab w:val="center" w:pos="4201"/>
          <w:tab w:val="right" w:leader="dot" w:pos="9298"/>
        </w:tabs>
        <w:spacing w:line="380" w:lineRule="exact"/>
        <w:ind w:firstLine="438"/>
        <w:rPr>
          <w:szCs w:val="21"/>
        </w:rPr>
      </w:pPr>
      <w:r>
        <w:rPr>
          <w:rFonts w:asciiTheme="minorEastAsia" w:eastAsiaTheme="minorEastAsia" w:hAnsiTheme="minorEastAsia" w:hint="eastAsia"/>
          <w:b/>
          <w:szCs w:val="21"/>
        </w:rPr>
        <w:t>报批阶段</w:t>
      </w:r>
      <w:r>
        <w:rPr>
          <w:rFonts w:ascii="Calibri" w:hint="eastAsia"/>
          <w:szCs w:val="21"/>
        </w:rPr>
        <w:t>：</w:t>
      </w:r>
    </w:p>
    <w:p w14:paraId="059A49E2" w14:textId="77777777" w:rsidR="001C1073" w:rsidRDefault="005039FA">
      <w:pPr>
        <w:pStyle w:val="1"/>
        <w:spacing w:before="0" w:beforeAutospacing="0" w:after="0" w:afterAutospacing="0" w:line="380" w:lineRule="exact"/>
        <w:rPr>
          <w:rFonts w:ascii="黑体" w:eastAsia="黑体" w:hAnsi="黑体"/>
          <w:b w:val="0"/>
          <w:bCs w:val="0"/>
          <w:sz w:val="21"/>
          <w:szCs w:val="24"/>
        </w:rPr>
      </w:pPr>
      <w:bookmarkStart w:id="14" w:name="_Toc97638640"/>
      <w:bookmarkStart w:id="15" w:name="_Toc41998684"/>
      <w:bookmarkStart w:id="16" w:name="_Toc100560673"/>
      <w:r>
        <w:rPr>
          <w:rFonts w:ascii="黑体" w:eastAsia="黑体" w:hAnsi="黑体"/>
          <w:b w:val="0"/>
          <w:bCs w:val="0"/>
          <w:sz w:val="21"/>
          <w:szCs w:val="24"/>
        </w:rPr>
        <w:t>3</w:t>
      </w:r>
      <w:bookmarkEnd w:id="14"/>
      <w:bookmarkEnd w:id="15"/>
      <w:r>
        <w:rPr>
          <w:rFonts w:ascii="黑体" w:eastAsia="黑体" w:hAnsi="黑体" w:hint="eastAsia"/>
          <w:b w:val="0"/>
          <w:bCs w:val="0"/>
          <w:sz w:val="21"/>
          <w:szCs w:val="24"/>
        </w:rPr>
        <w:t xml:space="preserve">  主要参加</w:t>
      </w:r>
      <w:r>
        <w:rPr>
          <w:rFonts w:ascii="黑体" w:eastAsia="黑体" w:hAnsi="黑体"/>
          <w:b w:val="0"/>
          <w:bCs w:val="0"/>
          <w:sz w:val="21"/>
          <w:szCs w:val="24"/>
        </w:rPr>
        <w:t>单位和工作组成员及其所做的工作</w:t>
      </w:r>
      <w:bookmarkEnd w:id="16"/>
    </w:p>
    <w:p w14:paraId="0B1106EC" w14:textId="77777777" w:rsidR="001C1073" w:rsidRDefault="005039FA">
      <w:pPr>
        <w:pStyle w:val="a3"/>
        <w:snapToGrid w:val="0"/>
        <w:spacing w:before="0" w:beforeAutospacing="0" w:after="0" w:afterAutospacing="0" w:line="380" w:lineRule="exact"/>
        <w:ind w:firstLine="425"/>
        <w:rPr>
          <w:rFonts w:ascii="宋体" w:eastAsia="宋体" w:hAnsi="宋体" w:cs="Times New Roman"/>
          <w:sz w:val="21"/>
          <w:szCs w:val="21"/>
        </w:rPr>
      </w:pPr>
      <w:r>
        <w:rPr>
          <w:rFonts w:ascii="宋体" w:eastAsia="宋体" w:hAnsi="宋体" w:cs="Times New Roman" w:hint="eastAsia"/>
          <w:sz w:val="21"/>
          <w:szCs w:val="21"/>
        </w:rPr>
        <w:t>主要参加单位：浙江菲达环保科技股份有限公司、浙江旭璟健康科技有限公司、上海易碳数字科技有限公司、浙江省农业科学院、浙江大学、中国矿业大学、宁波诺丁汉大学、浙江省数据管理有限公司</w:t>
      </w:r>
      <w:r>
        <w:rPr>
          <w:rFonts w:ascii="宋体" w:eastAsia="宋体" w:hAnsi="宋体" w:cs="Times New Roman"/>
          <w:sz w:val="21"/>
          <w:szCs w:val="21"/>
        </w:rPr>
        <w:t>。</w:t>
      </w:r>
    </w:p>
    <w:p w14:paraId="27433878" w14:textId="77777777" w:rsidR="001C1073" w:rsidRDefault="005039FA">
      <w:pPr>
        <w:pStyle w:val="a3"/>
        <w:snapToGrid w:val="0"/>
        <w:spacing w:before="0" w:beforeAutospacing="0" w:after="0" w:afterAutospacing="0" w:line="380" w:lineRule="exact"/>
        <w:ind w:firstLine="425"/>
        <w:rPr>
          <w:rFonts w:ascii="宋体" w:eastAsia="宋体" w:hAnsi="宋体" w:cs="Times New Roman"/>
          <w:sz w:val="21"/>
          <w:szCs w:val="21"/>
        </w:rPr>
      </w:pPr>
      <w:r>
        <w:rPr>
          <w:rFonts w:ascii="宋体" w:eastAsia="宋体" w:hAnsi="宋体" w:cs="Times New Roman" w:hint="eastAsia"/>
          <w:sz w:val="21"/>
          <w:szCs w:val="21"/>
        </w:rPr>
        <w:t>本文件</w:t>
      </w:r>
      <w:r>
        <w:rPr>
          <w:rFonts w:ascii="宋体" w:eastAsia="宋体" w:hAnsi="宋体" w:cs="Times New Roman"/>
          <w:sz w:val="21"/>
          <w:szCs w:val="21"/>
        </w:rPr>
        <w:t>主要起草人：</w:t>
      </w:r>
      <w:r>
        <w:rPr>
          <w:rFonts w:ascii="宋体" w:eastAsia="宋体" w:hAnsi="宋体" w:cs="宋体" w:hint="eastAsia"/>
          <w:sz w:val="21"/>
          <w:szCs w:val="21"/>
        </w:rPr>
        <w:t>刘含笑、冯永才、周烨、陈琳、寿恬雨、刘美玲、沈国新、</w:t>
      </w:r>
      <w:r w:rsidR="004C17CB">
        <w:rPr>
          <w:rFonts w:ascii="宋体" w:eastAsia="宋体" w:hAnsi="宋体" w:cs="宋体" w:hint="eastAsia"/>
          <w:sz w:val="21"/>
          <w:szCs w:val="21"/>
        </w:rPr>
        <w:t>崔盈、</w:t>
      </w:r>
      <w:r>
        <w:rPr>
          <w:rFonts w:ascii="宋体" w:eastAsia="宋体" w:hAnsi="宋体" w:cs="宋体" w:hint="eastAsia"/>
          <w:sz w:val="21"/>
          <w:szCs w:val="21"/>
        </w:rPr>
        <w:t>林青阳、朱前林、罗象、陈伟强。</w:t>
      </w:r>
    </w:p>
    <w:p w14:paraId="58DA17ED" w14:textId="77777777" w:rsidR="001C1073" w:rsidRDefault="005039FA">
      <w:pPr>
        <w:pStyle w:val="a3"/>
        <w:snapToGrid w:val="0"/>
        <w:spacing w:before="0" w:beforeAutospacing="0" w:after="0" w:afterAutospacing="0" w:line="380" w:lineRule="exact"/>
        <w:ind w:firstLine="425"/>
        <w:rPr>
          <w:rFonts w:ascii="宋体" w:eastAsia="宋体" w:hAnsi="宋体" w:cs="Times New Roman"/>
          <w:sz w:val="21"/>
          <w:szCs w:val="21"/>
        </w:rPr>
      </w:pPr>
      <w:r>
        <w:rPr>
          <w:rFonts w:ascii="宋体" w:eastAsia="宋体" w:hAnsi="宋体" w:cs="Times New Roman" w:hint="eastAsia"/>
          <w:sz w:val="21"/>
          <w:szCs w:val="21"/>
        </w:rPr>
        <w:t>所做的工作：</w:t>
      </w:r>
      <w:r>
        <w:rPr>
          <w:rFonts w:ascii="宋体" w:eastAsia="宋体" w:hAnsi="宋体" w:cs="宋体" w:hint="eastAsia"/>
          <w:sz w:val="21"/>
          <w:szCs w:val="21"/>
        </w:rPr>
        <w:t>刘含笑</w:t>
      </w:r>
      <w:r>
        <w:rPr>
          <w:rFonts w:ascii="宋体" w:eastAsia="宋体" w:hAnsi="宋体" w:cs="Times New Roman" w:hint="eastAsia"/>
          <w:sz w:val="21"/>
          <w:szCs w:val="21"/>
        </w:rPr>
        <w:t>任标准制定工作组组长，为标准总负责人，全面协调标准的制定工作，负责对各阶段标准的审核。</w:t>
      </w:r>
      <w:r>
        <w:rPr>
          <w:rFonts w:ascii="宋体" w:eastAsia="宋体" w:hAnsi="宋体" w:cs="宋体" w:hint="eastAsia"/>
          <w:sz w:val="21"/>
          <w:szCs w:val="21"/>
        </w:rPr>
        <w:t>冯永才、</w:t>
      </w:r>
      <w:r w:rsidR="004C17CB">
        <w:rPr>
          <w:rFonts w:ascii="宋体" w:eastAsia="宋体" w:hAnsi="宋体" w:cs="宋体" w:hint="eastAsia"/>
          <w:sz w:val="21"/>
          <w:szCs w:val="21"/>
        </w:rPr>
        <w:t>周烨、陈琳、</w:t>
      </w:r>
      <w:r>
        <w:rPr>
          <w:rFonts w:ascii="宋体" w:eastAsia="宋体" w:hAnsi="宋体" w:cs="宋体" w:hint="eastAsia"/>
          <w:sz w:val="21"/>
          <w:szCs w:val="21"/>
        </w:rPr>
        <w:t>寿恬雨、刘美玲</w:t>
      </w:r>
      <w:r>
        <w:rPr>
          <w:rFonts w:ascii="宋体" w:eastAsia="宋体" w:hAnsi="宋体" w:cs="Times New Roman" w:hint="eastAsia"/>
          <w:sz w:val="21"/>
          <w:szCs w:val="21"/>
        </w:rPr>
        <w:t>主要参与标准的起草及编写工作。</w:t>
      </w:r>
      <w:r>
        <w:rPr>
          <w:rFonts w:ascii="宋体" w:eastAsia="宋体" w:hAnsi="宋体" w:cs="宋体" w:hint="eastAsia"/>
          <w:sz w:val="21"/>
          <w:szCs w:val="21"/>
        </w:rPr>
        <w:t>沈国新、</w:t>
      </w:r>
      <w:r w:rsidR="004C17CB">
        <w:rPr>
          <w:rFonts w:ascii="宋体" w:eastAsia="宋体" w:hAnsi="宋体" w:cs="宋体" w:hint="eastAsia"/>
          <w:sz w:val="21"/>
          <w:szCs w:val="21"/>
        </w:rPr>
        <w:t>崔盈、</w:t>
      </w:r>
      <w:r>
        <w:rPr>
          <w:rFonts w:ascii="宋体" w:eastAsia="宋体" w:hAnsi="宋体" w:cs="宋体" w:hint="eastAsia"/>
          <w:sz w:val="21"/>
          <w:szCs w:val="21"/>
        </w:rPr>
        <w:t>林青阳</w:t>
      </w:r>
      <w:r>
        <w:rPr>
          <w:rFonts w:ascii="宋体" w:eastAsia="宋体" w:hAnsi="宋体" w:cs="Times New Roman" w:hint="eastAsia"/>
          <w:sz w:val="21"/>
          <w:szCs w:val="21"/>
        </w:rPr>
        <w:t>负责收集国内相关技术文献和资料，</w:t>
      </w:r>
      <w:r>
        <w:rPr>
          <w:rFonts w:ascii="宋体" w:eastAsia="宋体" w:hAnsi="宋体" w:cs="宋体" w:hint="eastAsia"/>
          <w:sz w:val="21"/>
          <w:szCs w:val="21"/>
        </w:rPr>
        <w:t>朱前林、罗象、陈伟强</w:t>
      </w:r>
      <w:r>
        <w:rPr>
          <w:rFonts w:ascii="宋体" w:eastAsia="宋体" w:hAnsi="宋体" w:cs="Times New Roman" w:hint="eastAsia"/>
          <w:sz w:val="21"/>
          <w:szCs w:val="21"/>
        </w:rPr>
        <w:t>负责对标准各阶段意见及建议进行归纳、分析及其他材料的编制。</w:t>
      </w:r>
    </w:p>
    <w:p w14:paraId="41D4D21D"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bookmarkStart w:id="17" w:name="_Toc41998685"/>
      <w:bookmarkStart w:id="18" w:name="_Toc100560674"/>
      <w:bookmarkStart w:id="19" w:name="_Toc172363639"/>
      <w:bookmarkStart w:id="20" w:name="_Toc180835807"/>
      <w:bookmarkStart w:id="21" w:name="_Toc185954581"/>
      <w:r>
        <w:rPr>
          <w:rFonts w:ascii="黑体" w:eastAsia="黑体" w:hAnsi="黑体" w:cs="Arial" w:hint="eastAsia"/>
          <w:b w:val="0"/>
          <w:sz w:val="21"/>
          <w:szCs w:val="21"/>
          <w:shd w:val="clear" w:color="auto" w:fill="FFFFFF"/>
        </w:rPr>
        <w:t>二、标准编制</w:t>
      </w:r>
      <w:r>
        <w:rPr>
          <w:rFonts w:ascii="黑体" w:eastAsia="黑体" w:hAnsi="黑体" w:cs="Arial"/>
          <w:b w:val="0"/>
          <w:sz w:val="21"/>
          <w:szCs w:val="21"/>
          <w:shd w:val="clear" w:color="auto" w:fill="FFFFFF"/>
        </w:rPr>
        <w:t>原则、主要内容和解决的</w:t>
      </w:r>
      <w:r>
        <w:rPr>
          <w:rFonts w:ascii="黑体" w:eastAsia="黑体" w:hAnsi="黑体" w:cs="Arial" w:hint="eastAsia"/>
          <w:b w:val="0"/>
          <w:sz w:val="21"/>
          <w:szCs w:val="21"/>
          <w:shd w:val="clear" w:color="auto" w:fill="FFFFFF"/>
        </w:rPr>
        <w:t>主要</w:t>
      </w:r>
      <w:bookmarkEnd w:id="17"/>
      <w:r>
        <w:rPr>
          <w:rFonts w:ascii="黑体" w:eastAsia="黑体" w:hAnsi="黑体" w:cs="Arial" w:hint="eastAsia"/>
          <w:b w:val="0"/>
          <w:sz w:val="21"/>
          <w:szCs w:val="21"/>
          <w:shd w:val="clear" w:color="auto" w:fill="FFFFFF"/>
        </w:rPr>
        <w:t>问题</w:t>
      </w:r>
      <w:bookmarkEnd w:id="18"/>
    </w:p>
    <w:p w14:paraId="1C8D7569" w14:textId="77777777" w:rsidR="001C1073" w:rsidRDefault="005039FA" w:rsidP="0007250F">
      <w:pPr>
        <w:pStyle w:val="1"/>
        <w:spacing w:before="0" w:beforeAutospacing="0" w:after="0" w:afterAutospacing="0" w:line="380" w:lineRule="exact"/>
        <w:rPr>
          <w:rFonts w:ascii="黑体" w:eastAsia="黑体" w:hAnsi="黑体"/>
          <w:b w:val="0"/>
          <w:bCs w:val="0"/>
          <w:sz w:val="21"/>
          <w:szCs w:val="24"/>
        </w:rPr>
      </w:pPr>
      <w:bookmarkStart w:id="22" w:name="_Toc41998686"/>
      <w:bookmarkStart w:id="23" w:name="_Toc97638642"/>
      <w:bookmarkStart w:id="24" w:name="_Toc100560675"/>
      <w:r>
        <w:rPr>
          <w:rFonts w:ascii="黑体" w:eastAsia="黑体" w:hAnsi="黑体"/>
          <w:b w:val="0"/>
          <w:bCs w:val="0"/>
          <w:sz w:val="21"/>
          <w:szCs w:val="24"/>
        </w:rPr>
        <w:t>1</w:t>
      </w:r>
      <w:r>
        <w:rPr>
          <w:rFonts w:ascii="黑体" w:eastAsia="黑体" w:hAnsi="黑体" w:hint="eastAsia"/>
          <w:b w:val="0"/>
          <w:bCs w:val="0"/>
          <w:sz w:val="21"/>
          <w:szCs w:val="24"/>
        </w:rPr>
        <w:t xml:space="preserve">  标准编制的原则</w:t>
      </w:r>
      <w:bookmarkEnd w:id="19"/>
      <w:bookmarkEnd w:id="20"/>
      <w:bookmarkEnd w:id="21"/>
      <w:bookmarkEnd w:id="22"/>
      <w:bookmarkEnd w:id="23"/>
      <w:bookmarkEnd w:id="24"/>
    </w:p>
    <w:p w14:paraId="79DDEC92" w14:textId="77777777" w:rsidR="001C1073" w:rsidRDefault="005039FA" w:rsidP="0007250F">
      <w:pPr>
        <w:widowControl/>
        <w:spacing w:line="380" w:lineRule="exact"/>
        <w:ind w:firstLineChars="200" w:firstLine="420"/>
        <w:jc w:val="left"/>
        <w:rPr>
          <w:kern w:val="0"/>
          <w:szCs w:val="21"/>
        </w:rPr>
      </w:pPr>
      <w:bookmarkStart w:id="25" w:name="_Toc100560676"/>
      <w:r>
        <w:rPr>
          <w:rFonts w:hint="eastAsia"/>
          <w:kern w:val="0"/>
          <w:szCs w:val="21"/>
        </w:rPr>
        <w:lastRenderedPageBreak/>
        <w:t>本文件</w:t>
      </w:r>
      <w:r>
        <w:rPr>
          <w:kern w:val="0"/>
          <w:szCs w:val="21"/>
        </w:rPr>
        <w:t>编制主要依据以下两条原则：</w:t>
      </w:r>
    </w:p>
    <w:p w14:paraId="51C99C6B" w14:textId="77777777" w:rsidR="001C1073" w:rsidRDefault="005039FA" w:rsidP="008A5C75">
      <w:pPr>
        <w:widowControl/>
        <w:spacing w:line="380" w:lineRule="exact"/>
        <w:ind w:firstLineChars="200" w:firstLine="420"/>
        <w:rPr>
          <w:kern w:val="0"/>
          <w:szCs w:val="21"/>
        </w:rPr>
      </w:pPr>
      <w:r>
        <w:rPr>
          <w:kern w:val="0"/>
          <w:szCs w:val="21"/>
        </w:rPr>
        <w:t>a</w:t>
      </w:r>
      <w:r>
        <w:rPr>
          <w:kern w:val="0"/>
          <w:szCs w:val="21"/>
        </w:rPr>
        <w:t>）编写</w:t>
      </w:r>
      <w:r>
        <w:rPr>
          <w:rFonts w:hint="eastAsia"/>
          <w:kern w:val="0"/>
          <w:szCs w:val="21"/>
        </w:rPr>
        <w:t>结构及</w:t>
      </w:r>
      <w:r>
        <w:rPr>
          <w:kern w:val="0"/>
          <w:szCs w:val="21"/>
        </w:rPr>
        <w:t>格式按</w:t>
      </w:r>
      <w:r>
        <w:rPr>
          <w:rFonts w:hint="eastAsia"/>
          <w:kern w:val="0"/>
          <w:szCs w:val="21"/>
        </w:rPr>
        <w:t>《标准化工作导则第</w:t>
      </w:r>
      <w:r>
        <w:rPr>
          <w:rFonts w:hint="eastAsia"/>
          <w:kern w:val="0"/>
          <w:szCs w:val="21"/>
        </w:rPr>
        <w:t>1</w:t>
      </w:r>
      <w:r>
        <w:rPr>
          <w:rFonts w:hint="eastAsia"/>
          <w:kern w:val="0"/>
          <w:szCs w:val="21"/>
        </w:rPr>
        <w:t>部分：标准化文件的结构和起草规则》（</w:t>
      </w:r>
      <w:r>
        <w:rPr>
          <w:rFonts w:hint="eastAsia"/>
          <w:kern w:val="0"/>
          <w:szCs w:val="21"/>
        </w:rPr>
        <w:t>GB/T 1.1-2020</w:t>
      </w:r>
      <w:r>
        <w:rPr>
          <w:rFonts w:hint="eastAsia"/>
          <w:kern w:val="0"/>
          <w:szCs w:val="21"/>
        </w:rPr>
        <w:t>）</w:t>
      </w:r>
      <w:r>
        <w:rPr>
          <w:kern w:val="0"/>
          <w:szCs w:val="21"/>
        </w:rPr>
        <w:t>的规定。</w:t>
      </w:r>
    </w:p>
    <w:p w14:paraId="3E82869E" w14:textId="77777777" w:rsidR="001C1073" w:rsidRDefault="005039FA">
      <w:pPr>
        <w:widowControl/>
        <w:spacing w:line="380" w:lineRule="exact"/>
        <w:ind w:firstLineChars="200" w:firstLine="420"/>
        <w:rPr>
          <w:kern w:val="0"/>
          <w:szCs w:val="21"/>
        </w:rPr>
      </w:pPr>
      <w:r>
        <w:rPr>
          <w:kern w:val="0"/>
          <w:szCs w:val="21"/>
        </w:rPr>
        <w:t>b</w:t>
      </w:r>
      <w:r>
        <w:rPr>
          <w:kern w:val="0"/>
          <w:szCs w:val="21"/>
        </w:rPr>
        <w:t>）技术内容主要以《</w:t>
      </w:r>
      <w:r>
        <w:rPr>
          <w:szCs w:val="21"/>
        </w:rPr>
        <w:t>环境管理</w:t>
      </w:r>
      <w:r>
        <w:rPr>
          <w:szCs w:val="21"/>
        </w:rPr>
        <w:t xml:space="preserve"> </w:t>
      </w:r>
      <w:r>
        <w:rPr>
          <w:szCs w:val="21"/>
        </w:rPr>
        <w:t>生命周期评价</w:t>
      </w:r>
      <w:r>
        <w:rPr>
          <w:szCs w:val="21"/>
        </w:rPr>
        <w:t xml:space="preserve"> </w:t>
      </w:r>
      <w:r>
        <w:rPr>
          <w:szCs w:val="21"/>
        </w:rPr>
        <w:t>原则与框架</w:t>
      </w:r>
      <w:r>
        <w:rPr>
          <w:kern w:val="0"/>
          <w:szCs w:val="21"/>
        </w:rPr>
        <w:t>》</w:t>
      </w:r>
      <w:r>
        <w:rPr>
          <w:rFonts w:hint="eastAsia"/>
          <w:kern w:val="0"/>
          <w:szCs w:val="21"/>
        </w:rPr>
        <w:t>（</w:t>
      </w:r>
      <w:r>
        <w:rPr>
          <w:szCs w:val="21"/>
        </w:rPr>
        <w:t>GB/T 24040-2008</w:t>
      </w:r>
      <w:r>
        <w:rPr>
          <w:rFonts w:hint="eastAsia"/>
          <w:kern w:val="0"/>
          <w:szCs w:val="21"/>
        </w:rPr>
        <w:t>）</w:t>
      </w:r>
      <w:r>
        <w:rPr>
          <w:kern w:val="0"/>
          <w:szCs w:val="21"/>
        </w:rPr>
        <w:t>、《</w:t>
      </w:r>
      <w:r>
        <w:rPr>
          <w:szCs w:val="21"/>
        </w:rPr>
        <w:t>环境管理</w:t>
      </w:r>
      <w:r>
        <w:rPr>
          <w:szCs w:val="21"/>
        </w:rPr>
        <w:t xml:space="preserve"> </w:t>
      </w:r>
      <w:r>
        <w:rPr>
          <w:szCs w:val="21"/>
        </w:rPr>
        <w:t>生命周期评价</w:t>
      </w:r>
      <w:r>
        <w:rPr>
          <w:szCs w:val="21"/>
        </w:rPr>
        <w:t xml:space="preserve"> </w:t>
      </w:r>
      <w:r>
        <w:rPr>
          <w:szCs w:val="21"/>
        </w:rPr>
        <w:t>要求与指南</w:t>
      </w:r>
      <w:r>
        <w:rPr>
          <w:kern w:val="0"/>
          <w:szCs w:val="21"/>
        </w:rPr>
        <w:t>》</w:t>
      </w:r>
      <w:r>
        <w:rPr>
          <w:rFonts w:hint="eastAsia"/>
          <w:kern w:val="0"/>
          <w:szCs w:val="21"/>
        </w:rPr>
        <w:t>（</w:t>
      </w:r>
      <w:r>
        <w:rPr>
          <w:szCs w:val="21"/>
        </w:rPr>
        <w:t>GB/T 24044-2008</w:t>
      </w:r>
      <w:r>
        <w:rPr>
          <w:rFonts w:hint="eastAsia"/>
          <w:kern w:val="0"/>
          <w:szCs w:val="21"/>
        </w:rPr>
        <w:t>）</w:t>
      </w:r>
      <w:r>
        <w:rPr>
          <w:kern w:val="0"/>
          <w:szCs w:val="21"/>
        </w:rPr>
        <w:t>等标准作为基础。</w:t>
      </w:r>
    </w:p>
    <w:p w14:paraId="30733BC2" w14:textId="77777777" w:rsidR="001C1073" w:rsidRDefault="005039FA">
      <w:pPr>
        <w:pStyle w:val="1"/>
        <w:spacing w:before="0" w:beforeAutospacing="0" w:after="0" w:afterAutospacing="0" w:line="380" w:lineRule="exact"/>
        <w:rPr>
          <w:rFonts w:ascii="黑体" w:eastAsia="黑体" w:hAnsi="黑体"/>
          <w:b w:val="0"/>
          <w:bCs w:val="0"/>
          <w:sz w:val="21"/>
          <w:szCs w:val="24"/>
        </w:rPr>
      </w:pPr>
      <w:r>
        <w:rPr>
          <w:rFonts w:ascii="黑体" w:eastAsia="黑体" w:hAnsi="黑体"/>
          <w:b w:val="0"/>
          <w:bCs w:val="0"/>
          <w:sz w:val="21"/>
          <w:szCs w:val="24"/>
        </w:rPr>
        <w:t>2</w:t>
      </w:r>
      <w:r>
        <w:rPr>
          <w:rFonts w:ascii="黑体" w:eastAsia="黑体" w:hAnsi="黑体" w:hint="eastAsia"/>
          <w:b w:val="0"/>
          <w:bCs w:val="0"/>
          <w:sz w:val="21"/>
          <w:szCs w:val="24"/>
        </w:rPr>
        <w:t xml:space="preserve">  标准主要</w:t>
      </w:r>
      <w:r>
        <w:rPr>
          <w:rFonts w:ascii="黑体" w:eastAsia="黑体" w:hAnsi="黑体"/>
          <w:b w:val="0"/>
          <w:bCs w:val="0"/>
          <w:sz w:val="21"/>
          <w:szCs w:val="24"/>
        </w:rPr>
        <w:t>内容</w:t>
      </w:r>
      <w:bookmarkEnd w:id="25"/>
    </w:p>
    <w:p w14:paraId="4FC84B94" w14:textId="77777777" w:rsidR="001C1073" w:rsidRDefault="005039FA">
      <w:pPr>
        <w:pStyle w:val="1"/>
        <w:spacing w:before="0" w:beforeAutospacing="0" w:after="0" w:afterAutospacing="0" w:line="380" w:lineRule="exact"/>
        <w:rPr>
          <w:rFonts w:ascii="黑体" w:eastAsia="黑体" w:hAnsi="黑体" w:cs="Times New Roman"/>
          <w:b w:val="0"/>
          <w:sz w:val="21"/>
          <w:szCs w:val="21"/>
        </w:rPr>
      </w:pPr>
      <w:bookmarkStart w:id="26" w:name="_Toc31798955"/>
      <w:bookmarkStart w:id="27" w:name="_Toc34641257"/>
      <w:bookmarkStart w:id="28" w:name="_Toc41998689"/>
      <w:bookmarkStart w:id="29" w:name="_Toc97638644"/>
      <w:bookmarkStart w:id="30" w:name="_Toc100560677"/>
      <w:bookmarkStart w:id="31" w:name="_Toc41998883"/>
      <w:bookmarkStart w:id="32" w:name="_Toc97709232"/>
      <w:r>
        <w:rPr>
          <w:rFonts w:ascii="黑体" w:eastAsia="黑体" w:hAnsi="黑体"/>
          <w:b w:val="0"/>
          <w:bCs w:val="0"/>
          <w:sz w:val="21"/>
          <w:szCs w:val="21"/>
        </w:rPr>
        <w:t xml:space="preserve">2.1  </w:t>
      </w:r>
      <w:r>
        <w:rPr>
          <w:rFonts w:ascii="黑体" w:eastAsia="黑体" w:hAnsi="黑体" w:cs="Times New Roman" w:hint="eastAsia"/>
          <w:b w:val="0"/>
          <w:sz w:val="21"/>
          <w:szCs w:val="21"/>
        </w:rPr>
        <w:t>适用范围</w:t>
      </w:r>
      <w:bookmarkEnd w:id="26"/>
      <w:bookmarkEnd w:id="27"/>
      <w:bookmarkEnd w:id="28"/>
      <w:bookmarkEnd w:id="29"/>
      <w:bookmarkEnd w:id="30"/>
      <w:bookmarkEnd w:id="31"/>
      <w:bookmarkEnd w:id="32"/>
    </w:p>
    <w:p w14:paraId="52085F41" w14:textId="77777777" w:rsidR="001C1073" w:rsidRDefault="005039FA">
      <w:pPr>
        <w:spacing w:line="380" w:lineRule="exact"/>
        <w:ind w:firstLineChars="200" w:firstLine="420"/>
        <w:rPr>
          <w:szCs w:val="21"/>
        </w:rPr>
      </w:pPr>
      <w:bookmarkStart w:id="33" w:name="_Toc100560678"/>
      <w:bookmarkStart w:id="34" w:name="_Toc97638645"/>
      <w:bookmarkStart w:id="35" w:name="_Toc97709233"/>
      <w:r>
        <w:rPr>
          <w:szCs w:val="21"/>
        </w:rPr>
        <w:t>本文件规定了香榧与香榧加工产品碳足迹评价的术语和定义、</w:t>
      </w:r>
      <w:r>
        <w:rPr>
          <w:rFonts w:hint="eastAsia"/>
          <w:szCs w:val="21"/>
        </w:rPr>
        <w:t>产品描述</w:t>
      </w:r>
      <w:r>
        <w:rPr>
          <w:szCs w:val="21"/>
        </w:rPr>
        <w:t>、</w:t>
      </w:r>
      <w:r>
        <w:rPr>
          <w:rFonts w:hint="eastAsia"/>
          <w:szCs w:val="21"/>
        </w:rPr>
        <w:t>评价方法、附加环境信息、可比性、报告的要素。</w:t>
      </w:r>
    </w:p>
    <w:p w14:paraId="263B2F6F" w14:textId="77777777" w:rsidR="001C1073" w:rsidRDefault="005039FA">
      <w:pPr>
        <w:spacing w:line="380" w:lineRule="exact"/>
        <w:ind w:firstLineChars="200" w:firstLine="420"/>
        <w:rPr>
          <w:szCs w:val="21"/>
        </w:rPr>
      </w:pPr>
      <w:r>
        <w:rPr>
          <w:szCs w:val="21"/>
        </w:rPr>
        <w:t>本文件适用于香榧与</w:t>
      </w:r>
      <w:r>
        <w:rPr>
          <w:rFonts w:hint="eastAsia"/>
          <w:szCs w:val="21"/>
        </w:rPr>
        <w:t>香榧</w:t>
      </w:r>
      <w:r>
        <w:rPr>
          <w:szCs w:val="21"/>
        </w:rPr>
        <w:t>加工产品碳足迹评价。</w:t>
      </w:r>
      <w:r>
        <w:rPr>
          <w:rFonts w:hint="eastAsia"/>
          <w:szCs w:val="21"/>
        </w:rPr>
        <w:t>香榧</w:t>
      </w:r>
      <w:r>
        <w:rPr>
          <w:szCs w:val="21"/>
        </w:rPr>
        <w:t>加工产品指香榧果实的加工产品，包括香榧油、香榧</w:t>
      </w:r>
      <w:r>
        <w:rPr>
          <w:rFonts w:hint="eastAsia"/>
          <w:szCs w:val="21"/>
        </w:rPr>
        <w:t>酒</w:t>
      </w:r>
      <w:r>
        <w:rPr>
          <w:szCs w:val="21"/>
        </w:rPr>
        <w:t>、脱脂香榧粉以及相关衍生品。</w:t>
      </w:r>
    </w:p>
    <w:p w14:paraId="4797819A" w14:textId="77777777" w:rsidR="001C1073" w:rsidRDefault="005039FA">
      <w:pPr>
        <w:pStyle w:val="1"/>
        <w:spacing w:before="0" w:beforeAutospacing="0" w:after="0" w:afterAutospacing="0" w:line="380" w:lineRule="exact"/>
        <w:rPr>
          <w:rFonts w:ascii="黑体" w:eastAsia="黑体" w:hAnsi="黑体"/>
          <w:b w:val="0"/>
          <w:bCs w:val="0"/>
          <w:sz w:val="21"/>
          <w:szCs w:val="21"/>
        </w:rPr>
      </w:pPr>
      <w:r>
        <w:rPr>
          <w:rFonts w:ascii="黑体" w:eastAsia="黑体" w:hAnsi="黑体"/>
          <w:b w:val="0"/>
          <w:bCs w:val="0"/>
          <w:sz w:val="21"/>
          <w:szCs w:val="21"/>
        </w:rPr>
        <w:t>2.2</w:t>
      </w:r>
      <w:bookmarkStart w:id="36" w:name="_Toc31798956"/>
      <w:bookmarkStart w:id="37" w:name="_Toc41998690"/>
      <w:bookmarkStart w:id="38" w:name="_Toc41998884"/>
      <w:bookmarkStart w:id="39" w:name="_Toc34641258"/>
      <w:r>
        <w:rPr>
          <w:rFonts w:ascii="黑体" w:eastAsia="黑体" w:hAnsi="黑体"/>
          <w:b w:val="0"/>
          <w:bCs w:val="0"/>
          <w:sz w:val="21"/>
          <w:szCs w:val="21"/>
        </w:rPr>
        <w:t xml:space="preserve"> </w:t>
      </w:r>
      <w:r>
        <w:rPr>
          <w:rFonts w:ascii="黑体" w:eastAsia="黑体" w:hAnsi="黑体" w:hint="eastAsia"/>
          <w:b w:val="0"/>
          <w:bCs w:val="0"/>
          <w:sz w:val="21"/>
          <w:szCs w:val="21"/>
        </w:rPr>
        <w:t xml:space="preserve"> 规范性</w:t>
      </w:r>
      <w:r>
        <w:rPr>
          <w:rFonts w:ascii="黑体" w:eastAsia="黑体" w:hAnsi="黑体"/>
          <w:b w:val="0"/>
          <w:bCs w:val="0"/>
          <w:sz w:val="21"/>
          <w:szCs w:val="21"/>
        </w:rPr>
        <w:t>引用文件</w:t>
      </w:r>
      <w:bookmarkEnd w:id="33"/>
      <w:bookmarkEnd w:id="34"/>
      <w:bookmarkEnd w:id="35"/>
      <w:bookmarkEnd w:id="36"/>
      <w:bookmarkEnd w:id="37"/>
      <w:bookmarkEnd w:id="38"/>
      <w:bookmarkEnd w:id="39"/>
    </w:p>
    <w:p w14:paraId="1A53C757" w14:textId="77777777" w:rsidR="001C1073" w:rsidRDefault="005039FA">
      <w:pPr>
        <w:spacing w:line="380" w:lineRule="exact"/>
        <w:ind w:firstLineChars="200" w:firstLine="420"/>
        <w:rPr>
          <w:rFonts w:ascii="宋体" w:hAnsi="宋体"/>
          <w:bCs/>
          <w:szCs w:val="21"/>
        </w:rPr>
      </w:pPr>
      <w:r>
        <w:rPr>
          <w:rFonts w:ascii="宋体" w:hAnsi="宋体" w:hint="eastAsia"/>
          <w:bCs/>
          <w:szCs w:val="21"/>
        </w:rPr>
        <w:t>碳足迹评估遵循生命周期评价的方法学，因此碳足迹评估方法应遵循</w:t>
      </w:r>
      <w:r>
        <w:rPr>
          <w:szCs w:val="21"/>
        </w:rPr>
        <w:t>《环境管理</w:t>
      </w:r>
      <w:r>
        <w:rPr>
          <w:szCs w:val="21"/>
        </w:rPr>
        <w:t xml:space="preserve"> </w:t>
      </w:r>
      <w:r>
        <w:rPr>
          <w:szCs w:val="21"/>
        </w:rPr>
        <w:t>生命周期评价</w:t>
      </w:r>
      <w:r>
        <w:rPr>
          <w:szCs w:val="21"/>
        </w:rPr>
        <w:t xml:space="preserve"> </w:t>
      </w:r>
      <w:r>
        <w:rPr>
          <w:szCs w:val="21"/>
        </w:rPr>
        <w:t>原则与框架》（</w:t>
      </w:r>
      <w:r>
        <w:rPr>
          <w:szCs w:val="21"/>
        </w:rPr>
        <w:t>GB/T 24040-2008</w:t>
      </w:r>
      <w:r>
        <w:rPr>
          <w:szCs w:val="21"/>
        </w:rPr>
        <w:t>）</w:t>
      </w:r>
      <w:r>
        <w:rPr>
          <w:rFonts w:hint="eastAsia"/>
          <w:szCs w:val="21"/>
        </w:rPr>
        <w:t>与</w:t>
      </w:r>
      <w:r>
        <w:rPr>
          <w:szCs w:val="21"/>
        </w:rPr>
        <w:t>《环境管理</w:t>
      </w:r>
      <w:r>
        <w:rPr>
          <w:szCs w:val="21"/>
        </w:rPr>
        <w:t xml:space="preserve"> </w:t>
      </w:r>
      <w:r>
        <w:rPr>
          <w:szCs w:val="21"/>
        </w:rPr>
        <w:t>生命周期评价</w:t>
      </w:r>
      <w:r>
        <w:rPr>
          <w:szCs w:val="21"/>
        </w:rPr>
        <w:t xml:space="preserve"> </w:t>
      </w:r>
      <w:r>
        <w:rPr>
          <w:szCs w:val="21"/>
        </w:rPr>
        <w:t>要求与指南》（</w:t>
      </w:r>
      <w:r>
        <w:rPr>
          <w:szCs w:val="21"/>
        </w:rPr>
        <w:t>GB/T 24044-2008</w:t>
      </w:r>
      <w:r>
        <w:rPr>
          <w:szCs w:val="21"/>
        </w:rPr>
        <w:t>）。</w:t>
      </w:r>
      <w:r>
        <w:rPr>
          <w:rFonts w:hint="eastAsia"/>
          <w:szCs w:val="21"/>
        </w:rPr>
        <w:t>同时，考虑与环境标志和声明的兼容性，碳足迹评估方法遵循</w:t>
      </w:r>
      <w:r>
        <w:rPr>
          <w:szCs w:val="21"/>
        </w:rPr>
        <w:t>《环境管理</w:t>
      </w:r>
      <w:r>
        <w:rPr>
          <w:szCs w:val="21"/>
        </w:rPr>
        <w:t xml:space="preserve"> </w:t>
      </w:r>
      <w:r>
        <w:rPr>
          <w:szCs w:val="21"/>
        </w:rPr>
        <w:t>环境标志和声明</w:t>
      </w:r>
      <w:r>
        <w:rPr>
          <w:szCs w:val="21"/>
        </w:rPr>
        <w:t xml:space="preserve"> </w:t>
      </w:r>
      <w:r>
        <w:rPr>
          <w:szCs w:val="21"/>
        </w:rPr>
        <w:t>通用原则》（</w:t>
      </w:r>
      <w:r>
        <w:rPr>
          <w:szCs w:val="21"/>
        </w:rPr>
        <w:t>GB/T 24020-2000</w:t>
      </w:r>
      <w:r>
        <w:rPr>
          <w:szCs w:val="21"/>
        </w:rPr>
        <w:t>）</w:t>
      </w:r>
      <w:r>
        <w:rPr>
          <w:rFonts w:hint="eastAsia"/>
          <w:szCs w:val="21"/>
        </w:rPr>
        <w:t>与</w:t>
      </w:r>
      <w:r>
        <w:rPr>
          <w:szCs w:val="21"/>
        </w:rPr>
        <w:t>《环境标志和声明</w:t>
      </w:r>
      <w:r>
        <w:rPr>
          <w:szCs w:val="21"/>
        </w:rPr>
        <w:t xml:space="preserve"> III</w:t>
      </w:r>
      <w:r>
        <w:rPr>
          <w:szCs w:val="21"/>
        </w:rPr>
        <w:t>型环境声明</w:t>
      </w:r>
      <w:r>
        <w:rPr>
          <w:szCs w:val="21"/>
        </w:rPr>
        <w:t xml:space="preserve"> </w:t>
      </w:r>
      <w:r>
        <w:rPr>
          <w:szCs w:val="21"/>
        </w:rPr>
        <w:t>原则和程序》（</w:t>
      </w:r>
      <w:r>
        <w:rPr>
          <w:szCs w:val="21"/>
        </w:rPr>
        <w:t>GB/T 24025-2009</w:t>
      </w:r>
      <w:r>
        <w:rPr>
          <w:szCs w:val="21"/>
        </w:rPr>
        <w:t>）。</w:t>
      </w:r>
    </w:p>
    <w:p w14:paraId="1B1318A5" w14:textId="77777777" w:rsidR="001C1073" w:rsidRDefault="005039FA">
      <w:pPr>
        <w:pStyle w:val="1"/>
        <w:spacing w:before="0" w:beforeAutospacing="0" w:after="0" w:afterAutospacing="0" w:line="380" w:lineRule="exact"/>
        <w:rPr>
          <w:rFonts w:ascii="宋体" w:eastAsia="宋体" w:hAnsi="宋体" w:cs="Times New Roman"/>
          <w:b w:val="0"/>
          <w:sz w:val="21"/>
          <w:szCs w:val="21"/>
        </w:rPr>
      </w:pPr>
      <w:bookmarkStart w:id="40" w:name="_Toc97638646"/>
      <w:bookmarkStart w:id="41" w:name="_Toc31798957"/>
      <w:bookmarkStart w:id="42" w:name="_Toc100560679"/>
      <w:bookmarkStart w:id="43" w:name="_Toc97709234"/>
      <w:bookmarkStart w:id="44" w:name="_Toc34641259"/>
      <w:r>
        <w:rPr>
          <w:rFonts w:ascii="黑体" w:eastAsia="黑体" w:hAnsi="黑体"/>
          <w:b w:val="0"/>
          <w:bCs w:val="0"/>
          <w:sz w:val="21"/>
          <w:szCs w:val="21"/>
        </w:rPr>
        <w:t>2.3</w:t>
      </w:r>
      <w:bookmarkStart w:id="45" w:name="_Toc41998691"/>
      <w:bookmarkStart w:id="46" w:name="_Toc41998885"/>
      <w:r>
        <w:rPr>
          <w:rFonts w:ascii="黑体" w:eastAsia="黑体" w:hAnsi="黑体"/>
          <w:b w:val="0"/>
          <w:bCs w:val="0"/>
          <w:sz w:val="21"/>
          <w:szCs w:val="21"/>
        </w:rPr>
        <w:t xml:space="preserve"> </w:t>
      </w:r>
      <w:r>
        <w:rPr>
          <w:rFonts w:ascii="黑体" w:eastAsia="黑体" w:hAnsi="黑体" w:hint="eastAsia"/>
          <w:b w:val="0"/>
          <w:bCs w:val="0"/>
          <w:sz w:val="21"/>
          <w:szCs w:val="21"/>
        </w:rPr>
        <w:t xml:space="preserve"> 术语和</w:t>
      </w:r>
      <w:r>
        <w:rPr>
          <w:rFonts w:ascii="黑体" w:eastAsia="黑体" w:hAnsi="黑体"/>
          <w:b w:val="0"/>
          <w:bCs w:val="0"/>
          <w:sz w:val="21"/>
          <w:szCs w:val="21"/>
        </w:rPr>
        <w:t>定义</w:t>
      </w:r>
      <w:bookmarkEnd w:id="40"/>
      <w:bookmarkEnd w:id="41"/>
      <w:bookmarkEnd w:id="42"/>
      <w:bookmarkEnd w:id="43"/>
      <w:bookmarkEnd w:id="44"/>
      <w:bookmarkEnd w:id="45"/>
      <w:bookmarkEnd w:id="46"/>
    </w:p>
    <w:p w14:paraId="46A522B8" w14:textId="77777777" w:rsidR="001C1073" w:rsidRPr="009A489E" w:rsidRDefault="005039FA">
      <w:pPr>
        <w:spacing w:line="380" w:lineRule="exact"/>
        <w:ind w:firstLineChars="200" w:firstLine="420"/>
        <w:rPr>
          <w:szCs w:val="21"/>
        </w:rPr>
      </w:pPr>
      <w:r>
        <w:rPr>
          <w:rFonts w:hint="eastAsia"/>
          <w:szCs w:val="21"/>
        </w:rPr>
        <w:t>碳足迹评估遵循生命周期评价的方法学，</w:t>
      </w:r>
      <w:r>
        <w:rPr>
          <w:szCs w:val="21"/>
        </w:rPr>
        <w:t>《环境管理</w:t>
      </w:r>
      <w:r>
        <w:rPr>
          <w:szCs w:val="21"/>
        </w:rPr>
        <w:t xml:space="preserve"> </w:t>
      </w:r>
      <w:r>
        <w:rPr>
          <w:szCs w:val="21"/>
        </w:rPr>
        <w:t>生命周期评价</w:t>
      </w:r>
      <w:r>
        <w:rPr>
          <w:szCs w:val="21"/>
        </w:rPr>
        <w:t xml:space="preserve"> </w:t>
      </w:r>
      <w:r>
        <w:rPr>
          <w:szCs w:val="21"/>
        </w:rPr>
        <w:t>原则与框架》（</w:t>
      </w:r>
      <w:r>
        <w:rPr>
          <w:szCs w:val="21"/>
        </w:rPr>
        <w:t>GB/T 24040-2008</w:t>
      </w:r>
      <w:r>
        <w:rPr>
          <w:szCs w:val="21"/>
        </w:rPr>
        <w:t>）</w:t>
      </w:r>
      <w:r>
        <w:rPr>
          <w:rFonts w:hint="eastAsia"/>
          <w:szCs w:val="21"/>
        </w:rPr>
        <w:t>与</w:t>
      </w:r>
      <w:r>
        <w:rPr>
          <w:szCs w:val="21"/>
        </w:rPr>
        <w:t>《环境管理</w:t>
      </w:r>
      <w:r>
        <w:rPr>
          <w:szCs w:val="21"/>
        </w:rPr>
        <w:t xml:space="preserve"> </w:t>
      </w:r>
      <w:r>
        <w:rPr>
          <w:szCs w:val="21"/>
        </w:rPr>
        <w:t>生命周期评价</w:t>
      </w:r>
      <w:r>
        <w:rPr>
          <w:szCs w:val="21"/>
        </w:rPr>
        <w:t xml:space="preserve"> </w:t>
      </w:r>
      <w:r>
        <w:rPr>
          <w:szCs w:val="21"/>
        </w:rPr>
        <w:t>要求与指南》（</w:t>
      </w:r>
      <w:r>
        <w:rPr>
          <w:szCs w:val="21"/>
        </w:rPr>
        <w:t>GB/T 24044-2008</w:t>
      </w:r>
      <w:r>
        <w:rPr>
          <w:szCs w:val="21"/>
        </w:rPr>
        <w:t>）</w:t>
      </w:r>
      <w:r>
        <w:rPr>
          <w:rFonts w:hint="eastAsia"/>
          <w:szCs w:val="21"/>
        </w:rPr>
        <w:t>的术语和定义适用于本文件。本文件对“香榧”、“香榧加工产品”、“产品碳足迹”、“温室气体”、“二氧化碳当量”、“</w:t>
      </w:r>
      <w:r>
        <w:rPr>
          <w:rFonts w:hint="eastAsia"/>
          <w:szCs w:val="21"/>
        </w:rPr>
        <w:t>III</w:t>
      </w:r>
      <w:r>
        <w:rPr>
          <w:rFonts w:hint="eastAsia"/>
          <w:szCs w:val="21"/>
        </w:rPr>
        <w:t>型环境声明”、“功能单位”、“系统边界”和“全球变暖潜力”</w:t>
      </w:r>
      <w:r>
        <w:rPr>
          <w:rFonts w:hint="eastAsia"/>
          <w:szCs w:val="21"/>
        </w:rPr>
        <w:t>9</w:t>
      </w:r>
      <w:r>
        <w:rPr>
          <w:rFonts w:hint="eastAsia"/>
          <w:szCs w:val="21"/>
        </w:rPr>
        <w:t>个术语进行了定义。其中，香榧的定义参考《香榧栽培技术规程》（</w:t>
      </w:r>
      <w:r>
        <w:rPr>
          <w:rFonts w:hint="eastAsia"/>
          <w:szCs w:val="21"/>
        </w:rPr>
        <w:t>LY/T</w:t>
      </w:r>
      <w:r>
        <w:rPr>
          <w:szCs w:val="21"/>
        </w:rPr>
        <w:t xml:space="preserve"> 1774-2008</w:t>
      </w:r>
      <w:r>
        <w:rPr>
          <w:rFonts w:hint="eastAsia"/>
          <w:szCs w:val="21"/>
        </w:rPr>
        <w:t>），香榧是榧树群体中的优良品种</w:t>
      </w:r>
      <w:r>
        <w:rPr>
          <w:rFonts w:hint="eastAsia"/>
          <w:szCs w:val="21"/>
        </w:rPr>
        <w:t>(</w:t>
      </w:r>
      <w:r>
        <w:rPr>
          <w:rFonts w:hint="eastAsia"/>
          <w:szCs w:val="21"/>
        </w:rPr>
        <w:t>系</w:t>
      </w:r>
      <w:r>
        <w:rPr>
          <w:szCs w:val="21"/>
        </w:rPr>
        <w:t>)</w:t>
      </w:r>
      <w:r>
        <w:rPr>
          <w:rFonts w:hint="eastAsia"/>
          <w:szCs w:val="21"/>
        </w:rPr>
        <w:t>。香榧也是重要品牌。脱去假种皮的</w:t>
      </w:r>
      <w:r>
        <w:rPr>
          <w:szCs w:val="21"/>
        </w:rPr>
        <w:t>香榧</w:t>
      </w:r>
      <w:r>
        <w:rPr>
          <w:rFonts w:hint="eastAsia"/>
          <w:szCs w:val="21"/>
        </w:rPr>
        <w:t>种子</w:t>
      </w:r>
      <w:r>
        <w:rPr>
          <w:szCs w:val="21"/>
        </w:rPr>
        <w:t>经</w:t>
      </w:r>
      <w:r>
        <w:rPr>
          <w:rFonts w:hint="eastAsia"/>
          <w:color w:val="333333"/>
          <w:szCs w:val="21"/>
        </w:rPr>
        <w:t>后熟</w:t>
      </w:r>
      <w:r>
        <w:rPr>
          <w:color w:val="333333"/>
          <w:szCs w:val="21"/>
        </w:rPr>
        <w:t>、清洗、晾晒、炒制等步骤生产可食用的香榧</w:t>
      </w:r>
      <w:r>
        <w:rPr>
          <w:rFonts w:hint="eastAsia"/>
          <w:color w:val="333333"/>
          <w:szCs w:val="21"/>
        </w:rPr>
        <w:t>坚果。</w:t>
      </w:r>
      <w:r>
        <w:rPr>
          <w:rFonts w:hint="eastAsia"/>
          <w:szCs w:val="21"/>
        </w:rPr>
        <w:t>并明确了本文件中香榧指香榧坚果。香榧加工产品指香榧</w:t>
      </w:r>
      <w:r>
        <w:rPr>
          <w:szCs w:val="21"/>
        </w:rPr>
        <w:t>果实的加工产品，包括香榧油、</w:t>
      </w:r>
      <w:r>
        <w:rPr>
          <w:rFonts w:hint="eastAsia"/>
          <w:szCs w:val="21"/>
        </w:rPr>
        <w:t>香榧酒、脱脂</w:t>
      </w:r>
      <w:r>
        <w:rPr>
          <w:szCs w:val="21"/>
        </w:rPr>
        <w:t>香榧粉以及</w:t>
      </w:r>
      <w:r>
        <w:rPr>
          <w:rFonts w:hint="eastAsia"/>
          <w:szCs w:val="21"/>
        </w:rPr>
        <w:t>其它</w:t>
      </w:r>
      <w:r>
        <w:rPr>
          <w:szCs w:val="21"/>
        </w:rPr>
        <w:t>衍生品。</w:t>
      </w:r>
      <w:r>
        <w:rPr>
          <w:rFonts w:hint="eastAsia"/>
          <w:szCs w:val="21"/>
        </w:rPr>
        <w:t>温室气体定义来源于《工业企业温室气体排放核算和报告通则》（</w:t>
      </w:r>
      <w:r>
        <w:rPr>
          <w:szCs w:val="21"/>
        </w:rPr>
        <w:t>GB/T 32150-2015</w:t>
      </w:r>
      <w:r>
        <w:rPr>
          <w:szCs w:val="21"/>
        </w:rPr>
        <w:t>），</w:t>
      </w:r>
      <w:r>
        <w:rPr>
          <w:rFonts w:hint="eastAsia"/>
          <w:szCs w:val="21"/>
        </w:rPr>
        <w:t>并明确温室气体包括二氧化碳（</w:t>
      </w:r>
      <w:r>
        <w:rPr>
          <w:rFonts w:hint="eastAsia"/>
          <w:szCs w:val="21"/>
        </w:rPr>
        <w:t>CO</w:t>
      </w:r>
      <w:r w:rsidRPr="009A489E">
        <w:rPr>
          <w:szCs w:val="21"/>
          <w:vertAlign w:val="subscript"/>
        </w:rPr>
        <w:t>2</w:t>
      </w:r>
      <w:r>
        <w:rPr>
          <w:rFonts w:hint="eastAsia"/>
          <w:szCs w:val="21"/>
        </w:rPr>
        <w:t>）、甲烷（</w:t>
      </w:r>
      <w:r>
        <w:rPr>
          <w:rFonts w:hint="eastAsia"/>
          <w:szCs w:val="21"/>
        </w:rPr>
        <w:t>CH</w:t>
      </w:r>
      <w:r w:rsidRPr="009A489E">
        <w:rPr>
          <w:szCs w:val="21"/>
          <w:vertAlign w:val="subscript"/>
        </w:rPr>
        <w:t>4</w:t>
      </w:r>
      <w:r>
        <w:rPr>
          <w:rFonts w:hint="eastAsia"/>
          <w:szCs w:val="21"/>
        </w:rPr>
        <w:t>）、氧化亚氮（</w:t>
      </w:r>
      <w:r>
        <w:rPr>
          <w:rFonts w:hint="eastAsia"/>
          <w:szCs w:val="21"/>
        </w:rPr>
        <w:t>N</w:t>
      </w:r>
      <w:r w:rsidRPr="009A489E">
        <w:rPr>
          <w:szCs w:val="21"/>
          <w:vertAlign w:val="subscript"/>
        </w:rPr>
        <w:t>2</w:t>
      </w:r>
      <w:r>
        <w:rPr>
          <w:rFonts w:hint="eastAsia"/>
          <w:szCs w:val="21"/>
        </w:rPr>
        <w:t>O</w:t>
      </w:r>
      <w:r>
        <w:rPr>
          <w:rFonts w:hint="eastAsia"/>
          <w:szCs w:val="21"/>
        </w:rPr>
        <w:t>）、氢氟碳化物（</w:t>
      </w:r>
      <w:r>
        <w:rPr>
          <w:rFonts w:hint="eastAsia"/>
          <w:szCs w:val="21"/>
        </w:rPr>
        <w:t>HFCs</w:t>
      </w:r>
      <w:r>
        <w:rPr>
          <w:rFonts w:hint="eastAsia"/>
          <w:szCs w:val="21"/>
        </w:rPr>
        <w:t>）、全氟碳化物（</w:t>
      </w:r>
      <w:r>
        <w:rPr>
          <w:rFonts w:hint="eastAsia"/>
          <w:szCs w:val="21"/>
        </w:rPr>
        <w:t>PFCs</w:t>
      </w:r>
      <w:r>
        <w:rPr>
          <w:rFonts w:hint="eastAsia"/>
          <w:szCs w:val="21"/>
        </w:rPr>
        <w:t>）、六氟化硫（</w:t>
      </w:r>
      <w:r>
        <w:rPr>
          <w:rFonts w:hint="eastAsia"/>
          <w:szCs w:val="21"/>
        </w:rPr>
        <w:t>SF</w:t>
      </w:r>
      <w:r w:rsidRPr="009A489E">
        <w:rPr>
          <w:szCs w:val="21"/>
          <w:vertAlign w:val="subscript"/>
        </w:rPr>
        <w:t>6</w:t>
      </w:r>
      <w:r>
        <w:rPr>
          <w:rFonts w:hint="eastAsia"/>
          <w:szCs w:val="21"/>
        </w:rPr>
        <w:t>）与三氟化氮（</w:t>
      </w:r>
      <w:r>
        <w:rPr>
          <w:rFonts w:hint="eastAsia"/>
          <w:szCs w:val="21"/>
        </w:rPr>
        <w:t>NF</w:t>
      </w:r>
      <w:r w:rsidRPr="009A489E">
        <w:rPr>
          <w:szCs w:val="21"/>
          <w:vertAlign w:val="subscript"/>
        </w:rPr>
        <w:t>3</w:t>
      </w:r>
      <w:r>
        <w:rPr>
          <w:rFonts w:hint="eastAsia"/>
          <w:szCs w:val="21"/>
        </w:rPr>
        <w:t>），共</w:t>
      </w:r>
      <w:r>
        <w:rPr>
          <w:rFonts w:hint="eastAsia"/>
          <w:szCs w:val="21"/>
        </w:rPr>
        <w:t>7</w:t>
      </w:r>
      <w:r>
        <w:rPr>
          <w:rFonts w:hint="eastAsia"/>
          <w:szCs w:val="21"/>
        </w:rPr>
        <w:t>种。</w:t>
      </w:r>
    </w:p>
    <w:p w14:paraId="4831D033" w14:textId="77777777" w:rsidR="001C1073" w:rsidRDefault="005039FA">
      <w:pPr>
        <w:pStyle w:val="1"/>
        <w:spacing w:before="0" w:beforeAutospacing="0" w:after="0" w:afterAutospacing="0" w:line="380" w:lineRule="exact"/>
        <w:rPr>
          <w:rFonts w:ascii="黑体" w:eastAsia="黑体" w:hAnsi="黑体" w:cs="Arial"/>
          <w:b w:val="0"/>
          <w:sz w:val="21"/>
          <w:szCs w:val="21"/>
          <w:shd w:val="clear" w:color="auto" w:fill="FFFFFF"/>
        </w:rPr>
      </w:pPr>
      <w:bookmarkStart w:id="47" w:name="_Toc97638647"/>
      <w:bookmarkStart w:id="48" w:name="_Toc100560680"/>
      <w:bookmarkStart w:id="49" w:name="_Toc97709235"/>
      <w:r>
        <w:rPr>
          <w:rFonts w:ascii="黑体" w:eastAsia="黑体" w:hAnsi="黑体" w:cs="Arial"/>
          <w:b w:val="0"/>
          <w:sz w:val="21"/>
          <w:szCs w:val="21"/>
          <w:shd w:val="clear" w:color="auto" w:fill="FFFFFF"/>
        </w:rPr>
        <w:t>2.4</w:t>
      </w:r>
      <w:bookmarkStart w:id="50" w:name="_Toc31798959"/>
      <w:bookmarkStart w:id="51" w:name="_Toc34641261"/>
      <w:bookmarkEnd w:id="47"/>
      <w:bookmarkEnd w:id="48"/>
      <w:bookmarkEnd w:id="49"/>
      <w:bookmarkEnd w:id="50"/>
      <w:bookmarkEnd w:id="51"/>
      <w:r>
        <w:rPr>
          <w:rFonts w:ascii="黑体" w:eastAsia="黑体" w:hAnsi="黑体" w:cs="Arial"/>
          <w:b w:val="0"/>
          <w:sz w:val="21"/>
          <w:szCs w:val="21"/>
          <w:shd w:val="clear" w:color="auto" w:fill="FFFFFF"/>
        </w:rPr>
        <w:t xml:space="preserve"> </w:t>
      </w:r>
      <w:r>
        <w:rPr>
          <w:rFonts w:ascii="黑体" w:eastAsia="黑体" w:hAnsi="黑体" w:cs="Arial" w:hint="eastAsia"/>
          <w:b w:val="0"/>
          <w:sz w:val="21"/>
          <w:szCs w:val="21"/>
          <w:shd w:val="clear" w:color="auto" w:fill="FFFFFF"/>
        </w:rPr>
        <w:t xml:space="preserve"> 评估目的</w:t>
      </w:r>
    </w:p>
    <w:p w14:paraId="3A0D08D3" w14:textId="77777777" w:rsidR="001C1073" w:rsidRDefault="005039FA">
      <w:pPr>
        <w:spacing w:line="380" w:lineRule="exact"/>
        <w:ind w:firstLine="420"/>
      </w:pPr>
      <w:r>
        <w:rPr>
          <w:rFonts w:hint="eastAsia"/>
          <w:szCs w:val="21"/>
        </w:rPr>
        <w:t>自上世纪中叶以来，全球气候持续变暖，严重威胁人类社会的生存与发展。为有效应对全球气候暖化造成的不利影响，</w:t>
      </w:r>
      <w:r>
        <w:rPr>
          <w:rStyle w:val="fontstyle01"/>
          <w:rFonts w:hint="default"/>
          <w:sz w:val="21"/>
          <w:szCs w:val="21"/>
        </w:rPr>
        <w:t>世界各国共同承诺</w:t>
      </w:r>
      <w:r>
        <w:rPr>
          <w:szCs w:val="21"/>
        </w:rPr>
        <w:t>将本世纪末的全球平均温升幅度控制在</w:t>
      </w:r>
      <w:r>
        <w:rPr>
          <w:szCs w:val="21"/>
        </w:rPr>
        <w:t>2 °C</w:t>
      </w:r>
      <w:r>
        <w:rPr>
          <w:szCs w:val="21"/>
        </w:rPr>
        <w:t>以内，并为</w:t>
      </w:r>
      <w:r>
        <w:rPr>
          <w:szCs w:val="21"/>
        </w:rPr>
        <w:t>1.5 °C</w:t>
      </w:r>
      <w:r>
        <w:rPr>
          <w:szCs w:val="21"/>
        </w:rPr>
        <w:t>目标持续努力（</w:t>
      </w:r>
      <w:r>
        <w:rPr>
          <w:szCs w:val="21"/>
        </w:rPr>
        <w:t>IPCC</w:t>
      </w:r>
      <w:r>
        <w:rPr>
          <w:szCs w:val="21"/>
        </w:rPr>
        <w:t>，</w:t>
      </w:r>
      <w:r>
        <w:rPr>
          <w:szCs w:val="21"/>
        </w:rPr>
        <w:t>2014</w:t>
      </w:r>
      <w:r>
        <w:rPr>
          <w:szCs w:val="21"/>
        </w:rPr>
        <w:t>）。</w:t>
      </w:r>
      <w:r>
        <w:rPr>
          <w:rFonts w:hint="eastAsia"/>
          <w:szCs w:val="21"/>
        </w:rPr>
        <w:t>为了达成该承诺，欧盟及部分发达国家提出了碳边境调节机制，中国也提出了“碳达峰碳中和”目标。随着国内外减碳政策的出台，明确产品碳足迹，成为产品制造者应对各类政策的基础。同时，碳足迹评估可通过量化产品生命周期或选定过程中的所有温室气体排放和消除量，计算产品对全球变暖的潜在影响，为降碳提供数据支撑。</w:t>
      </w:r>
    </w:p>
    <w:p w14:paraId="21184765" w14:textId="77777777" w:rsidR="001C1073" w:rsidRDefault="005039FA">
      <w:pPr>
        <w:spacing w:line="380" w:lineRule="exact"/>
        <w:rPr>
          <w:rFonts w:ascii="黑体" w:eastAsia="黑体" w:hAnsi="黑体" w:cs="Arial"/>
          <w:bCs/>
          <w:kern w:val="36"/>
          <w:szCs w:val="21"/>
          <w:shd w:val="clear" w:color="auto" w:fill="FFFFFF"/>
        </w:rPr>
      </w:pPr>
      <w:r>
        <w:rPr>
          <w:rFonts w:ascii="黑体" w:eastAsia="黑体" w:hAnsi="黑体" w:cs="Arial"/>
          <w:bCs/>
          <w:kern w:val="36"/>
          <w:szCs w:val="21"/>
          <w:shd w:val="clear" w:color="auto" w:fill="FFFFFF"/>
        </w:rPr>
        <w:t xml:space="preserve">2.5  </w:t>
      </w:r>
      <w:r>
        <w:rPr>
          <w:rFonts w:ascii="黑体" w:eastAsia="黑体" w:hAnsi="黑体" w:cs="Arial" w:hint="eastAsia"/>
          <w:bCs/>
          <w:kern w:val="36"/>
          <w:szCs w:val="21"/>
          <w:shd w:val="clear" w:color="auto" w:fill="FFFFFF"/>
        </w:rPr>
        <w:t>评估方法</w:t>
      </w:r>
    </w:p>
    <w:p w14:paraId="3B779EC5" w14:textId="77777777" w:rsidR="001C1073" w:rsidRDefault="005039FA">
      <w:pPr>
        <w:spacing w:line="380" w:lineRule="exact"/>
      </w:pPr>
      <w:r>
        <w:rPr>
          <w:rFonts w:ascii="黑体" w:eastAsia="黑体" w:hAnsi="黑体" w:cs="Arial" w:hint="eastAsia"/>
          <w:bCs/>
          <w:kern w:val="36"/>
          <w:szCs w:val="21"/>
          <w:shd w:val="clear" w:color="auto" w:fill="FFFFFF"/>
        </w:rPr>
        <w:t xml:space="preserve"> </w:t>
      </w:r>
      <w:r>
        <w:rPr>
          <w:rFonts w:ascii="黑体" w:eastAsia="黑体" w:hAnsi="黑体" w:cs="Arial"/>
          <w:bCs/>
          <w:kern w:val="36"/>
          <w:szCs w:val="21"/>
          <w:shd w:val="clear" w:color="auto" w:fill="FFFFFF"/>
        </w:rPr>
        <w:t xml:space="preserve">   </w:t>
      </w:r>
      <w:r>
        <w:rPr>
          <w:rFonts w:hint="eastAsia"/>
        </w:rPr>
        <w:t>碳足迹的评估方法主要内容包括评估流程、功能单位、系统边界、数据与数据质量要求、产品碳足迹生命周期清单分析、碳足迹量化评价。</w:t>
      </w:r>
    </w:p>
    <w:p w14:paraId="7712C46E" w14:textId="77777777" w:rsidR="001C1073" w:rsidRDefault="005039FA">
      <w:pPr>
        <w:spacing w:line="380" w:lineRule="exact"/>
        <w:rPr>
          <w:rFonts w:ascii="黑体" w:eastAsia="黑体" w:hAnsi="黑体" w:cs="Arial"/>
          <w:bCs/>
          <w:kern w:val="36"/>
          <w:szCs w:val="21"/>
          <w:shd w:val="clear" w:color="auto" w:fill="FFFFFF"/>
        </w:rPr>
      </w:pPr>
      <w:r>
        <w:rPr>
          <w:rFonts w:ascii="黑体" w:eastAsia="黑体" w:hAnsi="黑体" w:cs="Arial"/>
          <w:bCs/>
          <w:kern w:val="36"/>
          <w:szCs w:val="21"/>
          <w:shd w:val="clear" w:color="auto" w:fill="FFFFFF"/>
        </w:rPr>
        <w:lastRenderedPageBreak/>
        <w:t xml:space="preserve">2.6  </w:t>
      </w:r>
      <w:r>
        <w:rPr>
          <w:rFonts w:ascii="黑体" w:eastAsia="黑体" w:hAnsi="黑体" w:cs="Arial" w:hint="eastAsia"/>
          <w:bCs/>
          <w:kern w:val="36"/>
          <w:szCs w:val="21"/>
          <w:shd w:val="clear" w:color="auto" w:fill="FFFFFF"/>
        </w:rPr>
        <w:t>附加环境信息</w:t>
      </w:r>
    </w:p>
    <w:p w14:paraId="26069A23" w14:textId="77777777" w:rsidR="001C1073" w:rsidRDefault="005039FA">
      <w:pPr>
        <w:spacing w:line="380" w:lineRule="exact"/>
        <w:rPr>
          <w:rFonts w:ascii="黑体" w:eastAsia="黑体" w:hAnsi="黑体" w:cs="Arial"/>
          <w:bCs/>
          <w:kern w:val="36"/>
          <w:szCs w:val="21"/>
          <w:shd w:val="clear" w:color="auto" w:fill="FFFFFF"/>
        </w:rPr>
      </w:pPr>
      <w:r>
        <w:rPr>
          <w:rFonts w:ascii="黑体" w:eastAsia="黑体" w:hAnsi="黑体" w:cs="Arial" w:hint="eastAsia"/>
          <w:bCs/>
          <w:kern w:val="36"/>
          <w:szCs w:val="21"/>
          <w:shd w:val="clear" w:color="auto" w:fill="FFFFFF"/>
        </w:rPr>
        <w:t xml:space="preserve"> </w:t>
      </w:r>
      <w:r>
        <w:rPr>
          <w:rFonts w:ascii="黑体" w:eastAsia="黑体" w:hAnsi="黑体" w:cs="Arial"/>
          <w:bCs/>
          <w:kern w:val="36"/>
          <w:szCs w:val="21"/>
          <w:shd w:val="clear" w:color="auto" w:fill="FFFFFF"/>
        </w:rPr>
        <w:t xml:space="preserve">   </w:t>
      </w:r>
      <w:r>
        <w:rPr>
          <w:szCs w:val="21"/>
        </w:rPr>
        <w:t>清洁生产工艺、节能减排技术、产品环境特性、企业环境管理</w:t>
      </w:r>
      <w:r>
        <w:rPr>
          <w:rFonts w:hint="eastAsia"/>
          <w:szCs w:val="21"/>
        </w:rPr>
        <w:t>等信息均可能影响碳足迹评估结果，应对本类附加环境信息予以说明，从而使产品碳足迹评估结果与企业生产水平得到对应。</w:t>
      </w:r>
    </w:p>
    <w:p w14:paraId="6653F306" w14:textId="77777777" w:rsidR="001C1073" w:rsidRDefault="005039FA">
      <w:pPr>
        <w:spacing w:line="380" w:lineRule="exact"/>
        <w:rPr>
          <w:rFonts w:ascii="黑体" w:eastAsia="黑体" w:hAnsi="黑体" w:cs="Arial"/>
          <w:bCs/>
          <w:kern w:val="36"/>
          <w:szCs w:val="21"/>
          <w:shd w:val="clear" w:color="auto" w:fill="FFFFFF"/>
        </w:rPr>
      </w:pPr>
      <w:r>
        <w:rPr>
          <w:rFonts w:ascii="黑体" w:eastAsia="黑体" w:hAnsi="黑体" w:cs="Arial"/>
          <w:bCs/>
          <w:kern w:val="36"/>
          <w:szCs w:val="21"/>
          <w:shd w:val="clear" w:color="auto" w:fill="FFFFFF"/>
        </w:rPr>
        <w:t xml:space="preserve">2.7  </w:t>
      </w:r>
      <w:r>
        <w:rPr>
          <w:rFonts w:ascii="黑体" w:eastAsia="黑体" w:hAnsi="黑体" w:cs="Arial" w:hint="eastAsia"/>
          <w:bCs/>
          <w:kern w:val="36"/>
          <w:szCs w:val="21"/>
          <w:shd w:val="clear" w:color="auto" w:fill="FFFFFF"/>
        </w:rPr>
        <w:t>对比性</w:t>
      </w:r>
    </w:p>
    <w:p w14:paraId="3D9F23DE" w14:textId="77777777" w:rsidR="001C1073" w:rsidRDefault="005039FA">
      <w:pPr>
        <w:spacing w:line="380" w:lineRule="exact"/>
        <w:ind w:firstLineChars="200" w:firstLine="420"/>
        <w:rPr>
          <w:szCs w:val="21"/>
        </w:rPr>
      </w:pPr>
      <w:r>
        <w:rPr>
          <w:rFonts w:hint="eastAsia"/>
          <w:szCs w:val="21"/>
        </w:rPr>
        <w:t>本文件考虑了产品碳足迹评估与环境标志和声明的兼容性。</w:t>
      </w:r>
      <w:r>
        <w:rPr>
          <w:szCs w:val="21"/>
        </w:rPr>
        <w:t>当根据本文件制作</w:t>
      </w:r>
      <w:r>
        <w:rPr>
          <w:szCs w:val="21"/>
        </w:rPr>
        <w:t>III</w:t>
      </w:r>
      <w:r>
        <w:rPr>
          <w:szCs w:val="21"/>
        </w:rPr>
        <w:t>型环境声明报告用于比较时，应满足标准中</w:t>
      </w:r>
      <w:r>
        <w:rPr>
          <w:szCs w:val="21"/>
        </w:rPr>
        <w:t>4</w:t>
      </w:r>
      <w:r>
        <w:rPr>
          <w:szCs w:val="21"/>
        </w:rPr>
        <w:t>、</w:t>
      </w:r>
      <w:r>
        <w:rPr>
          <w:szCs w:val="21"/>
        </w:rPr>
        <w:t>5</w:t>
      </w:r>
      <w:r>
        <w:rPr>
          <w:szCs w:val="21"/>
        </w:rPr>
        <w:t>、</w:t>
      </w:r>
      <w:r>
        <w:rPr>
          <w:szCs w:val="21"/>
        </w:rPr>
        <w:t>6</w:t>
      </w:r>
      <w:r>
        <w:rPr>
          <w:szCs w:val="21"/>
        </w:rPr>
        <w:t>章的要求，对于缺失的数据应予以说明。</w:t>
      </w:r>
    </w:p>
    <w:p w14:paraId="1D2FCAB3" w14:textId="77777777" w:rsidR="001C1073" w:rsidRDefault="005039FA">
      <w:pPr>
        <w:spacing w:line="380" w:lineRule="exact"/>
        <w:rPr>
          <w:rFonts w:ascii="黑体" w:eastAsia="黑体" w:hAnsi="黑体" w:cs="Arial"/>
          <w:bCs/>
          <w:kern w:val="36"/>
          <w:szCs w:val="21"/>
          <w:shd w:val="clear" w:color="auto" w:fill="FFFFFF"/>
        </w:rPr>
      </w:pPr>
      <w:r>
        <w:rPr>
          <w:rFonts w:ascii="黑体" w:eastAsia="黑体" w:hAnsi="黑体" w:cs="Arial"/>
          <w:bCs/>
          <w:kern w:val="36"/>
          <w:szCs w:val="21"/>
          <w:shd w:val="clear" w:color="auto" w:fill="FFFFFF"/>
        </w:rPr>
        <w:t xml:space="preserve">2.8  </w:t>
      </w:r>
      <w:r>
        <w:rPr>
          <w:rFonts w:ascii="黑体" w:eastAsia="黑体" w:hAnsi="黑体" w:cs="Arial" w:hint="eastAsia"/>
          <w:bCs/>
          <w:kern w:val="36"/>
          <w:szCs w:val="21"/>
          <w:shd w:val="clear" w:color="auto" w:fill="FFFFFF"/>
        </w:rPr>
        <w:t>报告的要素</w:t>
      </w:r>
    </w:p>
    <w:p w14:paraId="4D8000B4" w14:textId="77777777" w:rsidR="001C1073" w:rsidRDefault="005039FA">
      <w:pPr>
        <w:spacing w:line="380" w:lineRule="exact"/>
        <w:ind w:firstLine="420"/>
        <w:rPr>
          <w:szCs w:val="21"/>
        </w:rPr>
      </w:pPr>
      <w:r>
        <w:rPr>
          <w:rFonts w:hint="eastAsia"/>
          <w:szCs w:val="21"/>
        </w:rPr>
        <w:t>本文件考虑了产品碳足迹评估与环境标志和声明的兼容性。</w:t>
      </w:r>
      <w:r>
        <w:rPr>
          <w:szCs w:val="21"/>
        </w:rPr>
        <w:t>应用本文件可进行产品的</w:t>
      </w:r>
      <w:r>
        <w:rPr>
          <w:szCs w:val="21"/>
        </w:rPr>
        <w:t>III</w:t>
      </w:r>
      <w:r>
        <w:rPr>
          <w:szCs w:val="21"/>
        </w:rPr>
        <w:t>型环境声明报告，</w:t>
      </w:r>
      <w:r>
        <w:rPr>
          <w:szCs w:val="21"/>
        </w:rPr>
        <w:t>III</w:t>
      </w:r>
      <w:r>
        <w:rPr>
          <w:szCs w:val="21"/>
        </w:rPr>
        <w:t>型环境声明报告应符合</w:t>
      </w:r>
      <w:r>
        <w:rPr>
          <w:szCs w:val="21"/>
        </w:rPr>
        <w:t>GB/T 24025-2009</w:t>
      </w:r>
      <w:r>
        <w:rPr>
          <w:szCs w:val="21"/>
        </w:rPr>
        <w:t>的要求</w:t>
      </w:r>
      <w:r>
        <w:rPr>
          <w:rFonts w:hint="eastAsia"/>
          <w:szCs w:val="21"/>
        </w:rPr>
        <w:t>。应用本文件的报告也应</w:t>
      </w:r>
      <w:r>
        <w:rPr>
          <w:szCs w:val="21"/>
        </w:rPr>
        <w:t>符合</w:t>
      </w:r>
      <w:r>
        <w:rPr>
          <w:szCs w:val="21"/>
        </w:rPr>
        <w:t>GB/T 24025-2009</w:t>
      </w:r>
      <w:r>
        <w:rPr>
          <w:szCs w:val="21"/>
        </w:rPr>
        <w:t>的要求</w:t>
      </w:r>
      <w:r>
        <w:rPr>
          <w:rFonts w:hint="eastAsia"/>
          <w:szCs w:val="21"/>
        </w:rPr>
        <w:t>。</w:t>
      </w:r>
    </w:p>
    <w:p w14:paraId="42A7E4C3" w14:textId="77777777" w:rsidR="001C1073" w:rsidRDefault="005039FA">
      <w:pPr>
        <w:spacing w:line="380" w:lineRule="exact"/>
        <w:jc w:val="left"/>
        <w:rPr>
          <w:rFonts w:ascii="黑体" w:eastAsia="黑体" w:hAnsi="黑体" w:cs="Arial"/>
          <w:bCs/>
          <w:kern w:val="36"/>
          <w:szCs w:val="21"/>
          <w:shd w:val="clear" w:color="auto" w:fill="FFFFFF"/>
        </w:rPr>
      </w:pPr>
      <w:r>
        <w:rPr>
          <w:rFonts w:ascii="黑体" w:eastAsia="黑体" w:hAnsi="黑体" w:cs="Arial" w:hint="eastAsia"/>
          <w:bCs/>
          <w:kern w:val="36"/>
          <w:szCs w:val="21"/>
          <w:shd w:val="clear" w:color="auto" w:fill="FFFFFF"/>
        </w:rPr>
        <w:t>3  标准主要技术内容</w:t>
      </w:r>
    </w:p>
    <w:p w14:paraId="3DFFF1D8" w14:textId="77777777" w:rsidR="001C1073" w:rsidRDefault="005039FA">
      <w:pPr>
        <w:spacing w:line="380" w:lineRule="exact"/>
        <w:jc w:val="left"/>
        <w:rPr>
          <w:rFonts w:ascii="黑体" w:eastAsia="黑体" w:hAnsi="黑体" w:cs="Arial"/>
          <w:bCs/>
          <w:kern w:val="36"/>
          <w:szCs w:val="21"/>
          <w:shd w:val="clear" w:color="auto" w:fill="FFFFFF"/>
        </w:rPr>
      </w:pPr>
      <w:r>
        <w:rPr>
          <w:rFonts w:ascii="黑体" w:eastAsia="黑体" w:hAnsi="黑体" w:cs="Arial" w:hint="eastAsia"/>
          <w:bCs/>
          <w:kern w:val="36"/>
          <w:szCs w:val="21"/>
          <w:shd w:val="clear" w:color="auto" w:fill="FFFFFF"/>
        </w:rPr>
        <w:t>3.1  总体原则</w:t>
      </w:r>
    </w:p>
    <w:p w14:paraId="1EEDBF9E" w14:textId="77777777" w:rsidR="001C1073" w:rsidRDefault="005039FA">
      <w:pPr>
        <w:widowControl/>
        <w:spacing w:line="380" w:lineRule="exact"/>
        <w:ind w:firstLineChars="200" w:firstLine="420"/>
        <w:rPr>
          <w:kern w:val="0"/>
          <w:szCs w:val="21"/>
        </w:rPr>
      </w:pPr>
      <w:r>
        <w:rPr>
          <w:rFonts w:hint="eastAsia"/>
          <w:kern w:val="0"/>
          <w:szCs w:val="21"/>
        </w:rPr>
        <w:t>团体标准</w:t>
      </w:r>
      <w:r>
        <w:rPr>
          <w:kern w:val="0"/>
          <w:szCs w:val="21"/>
        </w:rPr>
        <w:t>《</w:t>
      </w:r>
      <w:r>
        <w:rPr>
          <w:rFonts w:hint="eastAsia"/>
          <w:kern w:val="0"/>
          <w:szCs w:val="21"/>
        </w:rPr>
        <w:t>香榧与香榧加工产品碳足迹评估方法</w:t>
      </w:r>
      <w:r>
        <w:rPr>
          <w:kern w:val="0"/>
          <w:szCs w:val="21"/>
        </w:rPr>
        <w:t>》的编制严格按照国家标准规范性文件的基本要求进行，在符合国家现行法律、法规以及行业产业政策要求的前提下，</w:t>
      </w:r>
      <w:r>
        <w:rPr>
          <w:rFonts w:hint="eastAsia"/>
          <w:kern w:val="0"/>
          <w:szCs w:val="21"/>
        </w:rPr>
        <w:t>基于产品</w:t>
      </w:r>
      <w:r w:rsidR="004C17CB">
        <w:rPr>
          <w:rFonts w:hint="eastAsia"/>
          <w:kern w:val="0"/>
          <w:szCs w:val="21"/>
        </w:rPr>
        <w:t>生命周期</w:t>
      </w:r>
      <w:r>
        <w:rPr>
          <w:rFonts w:hint="eastAsia"/>
          <w:kern w:val="0"/>
          <w:szCs w:val="21"/>
        </w:rPr>
        <w:t>评估的方法学，对香榧与香榧加工产品的碳足迹评估方法进行了详细规定。</w:t>
      </w:r>
      <w:r>
        <w:rPr>
          <w:kern w:val="0"/>
          <w:szCs w:val="21"/>
        </w:rPr>
        <w:t>依据生命周期评价方法，深入分析从原材料获取、生产、包装、运输、使用</w:t>
      </w:r>
      <w:r>
        <w:rPr>
          <w:rFonts w:hint="eastAsia"/>
          <w:szCs w:val="21"/>
        </w:rPr>
        <w:t>以及产品废弃</w:t>
      </w:r>
      <w:r>
        <w:rPr>
          <w:kern w:val="0"/>
          <w:szCs w:val="21"/>
        </w:rPr>
        <w:t>等各阶段</w:t>
      </w:r>
      <w:r>
        <w:rPr>
          <w:rFonts w:hint="eastAsia"/>
          <w:kern w:val="0"/>
          <w:szCs w:val="21"/>
        </w:rPr>
        <w:t>的温室气体排放和消除量。本文件在原则上符合国内外相关标准规定的碳足迹评估原则、框架、要求与指南，</w:t>
      </w:r>
      <w:r>
        <w:rPr>
          <w:kern w:val="0"/>
          <w:szCs w:val="21"/>
        </w:rPr>
        <w:t>体现标准的系统性、科学性和可操作性。</w:t>
      </w:r>
    </w:p>
    <w:p w14:paraId="21DCC334" w14:textId="77777777" w:rsidR="001C1073" w:rsidRDefault="005039FA">
      <w:pPr>
        <w:spacing w:line="380" w:lineRule="exact"/>
        <w:jc w:val="left"/>
        <w:rPr>
          <w:rFonts w:ascii="黑体" w:eastAsia="黑体" w:hAnsi="黑体" w:cs="Arial"/>
          <w:bCs/>
          <w:kern w:val="36"/>
          <w:szCs w:val="21"/>
          <w:shd w:val="clear" w:color="auto" w:fill="FFFFFF"/>
        </w:rPr>
      </w:pPr>
      <w:r>
        <w:rPr>
          <w:rFonts w:ascii="黑体" w:eastAsia="黑体" w:hAnsi="黑体" w:cs="Arial" w:hint="eastAsia"/>
          <w:bCs/>
          <w:kern w:val="36"/>
          <w:szCs w:val="21"/>
          <w:shd w:val="clear" w:color="auto" w:fill="FFFFFF"/>
        </w:rPr>
        <w:t xml:space="preserve">3.2 </w:t>
      </w:r>
      <w:r>
        <w:rPr>
          <w:rFonts w:ascii="黑体" w:eastAsia="黑体" w:hAnsi="黑体" w:cs="Arial"/>
          <w:bCs/>
          <w:kern w:val="36"/>
          <w:szCs w:val="21"/>
          <w:shd w:val="clear" w:color="auto" w:fill="FFFFFF"/>
        </w:rPr>
        <w:t xml:space="preserve"> </w:t>
      </w:r>
      <w:r>
        <w:rPr>
          <w:rFonts w:ascii="黑体" w:eastAsia="黑体" w:hAnsi="黑体" w:cs="Arial" w:hint="eastAsia"/>
          <w:bCs/>
          <w:kern w:val="36"/>
          <w:szCs w:val="21"/>
          <w:shd w:val="clear" w:color="auto" w:fill="FFFFFF"/>
        </w:rPr>
        <w:t>评价流程</w:t>
      </w:r>
    </w:p>
    <w:p w14:paraId="2D395B36" w14:textId="77777777" w:rsidR="001C1073" w:rsidRDefault="005039FA">
      <w:pPr>
        <w:spacing w:line="380" w:lineRule="exact"/>
        <w:ind w:firstLineChars="200" w:firstLine="420"/>
        <w:rPr>
          <w:szCs w:val="21"/>
        </w:rPr>
      </w:pPr>
      <w:r>
        <w:rPr>
          <w:szCs w:val="21"/>
        </w:rPr>
        <w:t>产品碳足迹量化评价基本程序包括：目的和范围定义、生命周期清单分析、生命周期影响评价、生命周期评价解释。</w:t>
      </w:r>
      <w:r>
        <w:rPr>
          <w:rFonts w:hint="eastAsia"/>
          <w:szCs w:val="21"/>
        </w:rPr>
        <w:t>评估流程根据</w:t>
      </w:r>
      <w:r>
        <w:rPr>
          <w:szCs w:val="21"/>
        </w:rPr>
        <w:t>《环境管理</w:t>
      </w:r>
      <w:r>
        <w:rPr>
          <w:szCs w:val="21"/>
        </w:rPr>
        <w:t xml:space="preserve"> </w:t>
      </w:r>
      <w:r>
        <w:rPr>
          <w:szCs w:val="21"/>
        </w:rPr>
        <w:t>生命周期评价</w:t>
      </w:r>
      <w:r>
        <w:rPr>
          <w:szCs w:val="21"/>
        </w:rPr>
        <w:t xml:space="preserve"> </w:t>
      </w:r>
      <w:r>
        <w:rPr>
          <w:szCs w:val="21"/>
        </w:rPr>
        <w:t>原则与框架》（</w:t>
      </w:r>
      <w:r>
        <w:rPr>
          <w:szCs w:val="21"/>
        </w:rPr>
        <w:t>GB/T 24040-2008</w:t>
      </w:r>
      <w:r>
        <w:rPr>
          <w:szCs w:val="21"/>
        </w:rPr>
        <w:t>）</w:t>
      </w:r>
      <w:r>
        <w:rPr>
          <w:rFonts w:hint="eastAsia"/>
          <w:szCs w:val="21"/>
        </w:rPr>
        <w:t>确定。</w:t>
      </w:r>
    </w:p>
    <w:p w14:paraId="0C6CFEBD" w14:textId="77777777" w:rsidR="001C1073" w:rsidRDefault="005039FA">
      <w:pPr>
        <w:spacing w:line="380" w:lineRule="exact"/>
        <w:jc w:val="left"/>
        <w:rPr>
          <w:rFonts w:ascii="黑体" w:eastAsia="黑体" w:hAnsi="黑体" w:cs="Arial"/>
          <w:bCs/>
          <w:kern w:val="36"/>
          <w:szCs w:val="21"/>
          <w:shd w:val="clear" w:color="auto" w:fill="FFFFFF"/>
        </w:rPr>
      </w:pPr>
      <w:r>
        <w:rPr>
          <w:rFonts w:ascii="黑体" w:eastAsia="黑体" w:hAnsi="黑体" w:cs="Arial" w:hint="eastAsia"/>
          <w:bCs/>
          <w:kern w:val="36"/>
          <w:szCs w:val="21"/>
          <w:shd w:val="clear" w:color="auto" w:fill="FFFFFF"/>
        </w:rPr>
        <w:t>3.</w:t>
      </w:r>
      <w:r>
        <w:rPr>
          <w:rFonts w:ascii="黑体" w:eastAsia="黑体" w:hAnsi="黑体" w:cs="Arial"/>
          <w:bCs/>
          <w:kern w:val="36"/>
          <w:szCs w:val="21"/>
          <w:shd w:val="clear" w:color="auto" w:fill="FFFFFF"/>
        </w:rPr>
        <w:t xml:space="preserve">3 </w:t>
      </w:r>
      <w:r>
        <w:rPr>
          <w:rFonts w:ascii="黑体" w:eastAsia="黑体" w:hAnsi="黑体" w:cs="Arial" w:hint="eastAsia"/>
          <w:bCs/>
          <w:kern w:val="36"/>
          <w:szCs w:val="21"/>
          <w:shd w:val="clear" w:color="auto" w:fill="FFFFFF"/>
        </w:rPr>
        <w:t xml:space="preserve"> 功能单位</w:t>
      </w:r>
    </w:p>
    <w:p w14:paraId="4C753D26" w14:textId="77777777" w:rsidR="001C1073" w:rsidRDefault="004C17CB">
      <w:pPr>
        <w:spacing w:line="380" w:lineRule="exact"/>
        <w:ind w:firstLineChars="200" w:firstLine="420"/>
        <w:rPr>
          <w:szCs w:val="21"/>
        </w:rPr>
      </w:pPr>
      <w:r>
        <w:rPr>
          <w:rFonts w:hint="eastAsia"/>
          <w:szCs w:val="21"/>
        </w:rPr>
        <w:t>生命周期</w:t>
      </w:r>
      <w:r w:rsidR="005039FA">
        <w:rPr>
          <w:rFonts w:hint="eastAsia"/>
          <w:szCs w:val="21"/>
        </w:rPr>
        <w:t>评估的研究范围中应明确规定所研究系统的功能。功能单位应予研究的目的和范围保持一致。功能单位的主要目的之一是为输入和输出数据的归一化提供基准，因此应对功能单位做出明确的定义并使其可测算。</w:t>
      </w:r>
    </w:p>
    <w:p w14:paraId="48B7C640" w14:textId="77777777" w:rsidR="001C1073" w:rsidRDefault="005039FA">
      <w:pPr>
        <w:spacing w:line="380" w:lineRule="exact"/>
        <w:ind w:firstLineChars="200" w:firstLine="420"/>
        <w:rPr>
          <w:szCs w:val="21"/>
        </w:rPr>
      </w:pPr>
      <w:r>
        <w:rPr>
          <w:rFonts w:hint="eastAsia"/>
          <w:szCs w:val="21"/>
        </w:rPr>
        <w:t>针对一般产品，单位质量、单位体积、单位包装均为常用功能单位。针对香榧、香榧</w:t>
      </w:r>
      <w:r>
        <w:rPr>
          <w:kern w:val="0"/>
          <w:szCs w:val="21"/>
        </w:rPr>
        <w:t>饼粕、脱脂香榧粉</w:t>
      </w:r>
      <w:r>
        <w:rPr>
          <w:rFonts w:hint="eastAsia"/>
          <w:kern w:val="0"/>
          <w:szCs w:val="21"/>
        </w:rPr>
        <w:t>等固体产品，可用单位质量</w:t>
      </w:r>
      <w:r>
        <w:rPr>
          <w:kern w:val="0"/>
          <w:szCs w:val="21"/>
        </w:rPr>
        <w:t>（</w:t>
      </w:r>
      <w:r>
        <w:rPr>
          <w:kern w:val="0"/>
          <w:szCs w:val="21"/>
        </w:rPr>
        <w:t>1kg</w:t>
      </w:r>
      <w:r>
        <w:rPr>
          <w:kern w:val="0"/>
          <w:szCs w:val="21"/>
        </w:rPr>
        <w:t>）</w:t>
      </w:r>
      <w:r>
        <w:rPr>
          <w:rFonts w:hint="eastAsia"/>
          <w:kern w:val="0"/>
          <w:szCs w:val="21"/>
        </w:rPr>
        <w:t>产品或单位包装产品（</w:t>
      </w:r>
      <w:r>
        <w:rPr>
          <w:kern w:val="0"/>
          <w:szCs w:val="21"/>
        </w:rPr>
        <w:t>1pcs</w:t>
      </w:r>
      <w:r>
        <w:rPr>
          <w:rFonts w:hint="eastAsia"/>
          <w:kern w:val="0"/>
          <w:szCs w:val="21"/>
        </w:rPr>
        <w:t>）表示。针对香榧油、香榧酒等液体产品，可用单位质量</w:t>
      </w:r>
      <w:r>
        <w:rPr>
          <w:kern w:val="0"/>
          <w:szCs w:val="21"/>
        </w:rPr>
        <w:t>（</w:t>
      </w:r>
      <w:r>
        <w:rPr>
          <w:kern w:val="0"/>
          <w:szCs w:val="21"/>
        </w:rPr>
        <w:t>1kg</w:t>
      </w:r>
      <w:r>
        <w:rPr>
          <w:kern w:val="0"/>
          <w:szCs w:val="21"/>
        </w:rPr>
        <w:t>）</w:t>
      </w:r>
      <w:r>
        <w:rPr>
          <w:rFonts w:hint="eastAsia"/>
          <w:kern w:val="0"/>
          <w:szCs w:val="21"/>
        </w:rPr>
        <w:t>产品、单位体积（</w:t>
      </w:r>
      <w:r>
        <w:rPr>
          <w:rFonts w:hint="eastAsia"/>
          <w:kern w:val="0"/>
          <w:szCs w:val="21"/>
        </w:rPr>
        <w:t>1L</w:t>
      </w:r>
      <w:r>
        <w:rPr>
          <w:rFonts w:hint="eastAsia"/>
          <w:kern w:val="0"/>
          <w:szCs w:val="21"/>
        </w:rPr>
        <w:t>）产品或单位包装产品（</w:t>
      </w:r>
      <w:r>
        <w:rPr>
          <w:kern w:val="0"/>
          <w:szCs w:val="21"/>
        </w:rPr>
        <w:t>1pcs</w:t>
      </w:r>
      <w:r>
        <w:rPr>
          <w:rFonts w:hint="eastAsia"/>
          <w:kern w:val="0"/>
          <w:szCs w:val="21"/>
        </w:rPr>
        <w:t>）表示。</w:t>
      </w:r>
    </w:p>
    <w:p w14:paraId="4D3D7139" w14:textId="77777777" w:rsidR="001C1073" w:rsidRDefault="005039FA">
      <w:pPr>
        <w:spacing w:line="380" w:lineRule="exact"/>
        <w:jc w:val="left"/>
        <w:rPr>
          <w:rFonts w:ascii="黑体" w:eastAsia="黑体" w:hAnsi="黑体" w:cs="Arial"/>
          <w:bCs/>
          <w:kern w:val="36"/>
          <w:szCs w:val="21"/>
          <w:shd w:val="clear" w:color="auto" w:fill="FFFFFF"/>
        </w:rPr>
      </w:pPr>
      <w:r>
        <w:rPr>
          <w:rFonts w:ascii="黑体" w:eastAsia="黑体" w:hAnsi="黑体" w:cs="Arial" w:hint="eastAsia"/>
          <w:bCs/>
          <w:kern w:val="36"/>
          <w:szCs w:val="21"/>
          <w:shd w:val="clear" w:color="auto" w:fill="FFFFFF"/>
        </w:rPr>
        <w:t xml:space="preserve">3.4  系统边界说明 </w:t>
      </w:r>
    </w:p>
    <w:p w14:paraId="492D67BB" w14:textId="492C312F" w:rsidR="001C1073" w:rsidRDefault="005039FA">
      <w:pPr>
        <w:spacing w:line="380" w:lineRule="exact"/>
        <w:ind w:firstLineChars="200" w:firstLine="420"/>
        <w:jc w:val="left"/>
        <w:rPr>
          <w:kern w:val="0"/>
          <w:szCs w:val="21"/>
        </w:rPr>
      </w:pPr>
      <w:r>
        <w:rPr>
          <w:rFonts w:hint="eastAsia"/>
        </w:rPr>
        <w:t>产品生命周期系统一般分三个阶段：上游流程、核心流程、下游流程。香榧、香榧油、香榧酒</w:t>
      </w:r>
      <w:r w:rsidR="00E66BC8">
        <w:rPr>
          <w:rFonts w:hint="eastAsia"/>
        </w:rPr>
        <w:t>、香榧精油、香榧皂</w:t>
      </w:r>
      <w:r>
        <w:rPr>
          <w:rFonts w:hint="eastAsia"/>
        </w:rPr>
        <w:t>均为终端产品，直接面向市场，其碳足迹评估系统边界为“从摇篮到坟墓”，应关注其上游流程、核心流程、下游流程的</w:t>
      </w:r>
      <w:r w:rsidR="004C17CB">
        <w:rPr>
          <w:rFonts w:hint="eastAsia"/>
        </w:rPr>
        <w:t>生命周期</w:t>
      </w:r>
      <w:r>
        <w:rPr>
          <w:rFonts w:hint="eastAsia"/>
        </w:rPr>
        <w:t>。</w:t>
      </w:r>
      <w:r>
        <w:rPr>
          <w:kern w:val="0"/>
          <w:szCs w:val="21"/>
        </w:rPr>
        <w:t>脱脂香榧粉</w:t>
      </w:r>
      <w:r>
        <w:rPr>
          <w:rFonts w:hint="eastAsia"/>
          <w:kern w:val="0"/>
          <w:szCs w:val="21"/>
        </w:rPr>
        <w:t>一般作为中间产品存在，可作为添加剂制作香榧风味的食品</w:t>
      </w:r>
      <w:r w:rsidR="00E66BC8">
        <w:rPr>
          <w:rFonts w:hint="eastAsia"/>
          <w:kern w:val="0"/>
          <w:szCs w:val="21"/>
        </w:rPr>
        <w:t>、</w:t>
      </w:r>
      <w:r>
        <w:rPr>
          <w:rFonts w:hint="eastAsia"/>
          <w:kern w:val="0"/>
          <w:szCs w:val="21"/>
        </w:rPr>
        <w:t>日用化学品</w:t>
      </w:r>
      <w:r w:rsidR="00E66BC8">
        <w:rPr>
          <w:rFonts w:hint="eastAsia"/>
          <w:kern w:val="0"/>
          <w:szCs w:val="21"/>
        </w:rPr>
        <w:t>等</w:t>
      </w:r>
      <w:r>
        <w:rPr>
          <w:rFonts w:hint="eastAsia"/>
          <w:kern w:val="0"/>
          <w:szCs w:val="21"/>
        </w:rPr>
        <w:t>。针对</w:t>
      </w:r>
      <w:r>
        <w:rPr>
          <w:kern w:val="0"/>
          <w:szCs w:val="21"/>
        </w:rPr>
        <w:t>脱脂香榧粉</w:t>
      </w:r>
      <w:r>
        <w:rPr>
          <w:rFonts w:hint="eastAsia"/>
          <w:kern w:val="0"/>
          <w:szCs w:val="21"/>
        </w:rPr>
        <w:t>，由于较难对下游使用情况作出明确界定，其碳足迹评估的系统边界为“从摇篮到门”，应关注其上游流程和核心流程，同时，碳足迹评估结果将与产品一起提供给下游生产厂商，用于下游产品的碳足迹评估，如香榧</w:t>
      </w:r>
      <w:r w:rsidR="00E66BC8">
        <w:rPr>
          <w:rFonts w:hint="eastAsia"/>
          <w:kern w:val="0"/>
          <w:szCs w:val="21"/>
        </w:rPr>
        <w:t>系列食品（如香榧饼干）</w:t>
      </w:r>
      <w:r>
        <w:rPr>
          <w:rFonts w:hint="eastAsia"/>
          <w:kern w:val="0"/>
          <w:szCs w:val="21"/>
        </w:rPr>
        <w:t>的碳足迹评估可直接采集脱脂香榧粉的碳足迹数据。</w:t>
      </w:r>
    </w:p>
    <w:p w14:paraId="67F7A853" w14:textId="7BD82D8E" w:rsidR="00E66BC8" w:rsidRDefault="00E66BC8">
      <w:pPr>
        <w:spacing w:line="380" w:lineRule="exact"/>
        <w:ind w:firstLineChars="200" w:firstLine="420"/>
        <w:jc w:val="left"/>
        <w:rPr>
          <w:kern w:val="0"/>
          <w:szCs w:val="21"/>
        </w:rPr>
      </w:pPr>
      <w:r>
        <w:rPr>
          <w:rFonts w:hint="eastAsia"/>
          <w:kern w:val="0"/>
          <w:szCs w:val="21"/>
        </w:rPr>
        <w:t>需要说明的是，香榧酒有多种类型，本文件中香榧酒特指由脱脂香榧粉直接酿造生产的酒。香榧酒（配制酒）由其他粮食酿制的酒添加脱脂香榧粉等香榧风味材料配制而成，本文件中归类至香榧系列食</w:t>
      </w:r>
      <w:r>
        <w:rPr>
          <w:rFonts w:hint="eastAsia"/>
          <w:kern w:val="0"/>
          <w:szCs w:val="21"/>
        </w:rPr>
        <w:lastRenderedPageBreak/>
        <w:t>品。</w:t>
      </w:r>
    </w:p>
    <w:p w14:paraId="6DF14A78" w14:textId="77777777" w:rsidR="001C1073" w:rsidRDefault="005039FA">
      <w:pPr>
        <w:spacing w:line="380" w:lineRule="exact"/>
        <w:ind w:firstLineChars="200" w:firstLine="420"/>
        <w:jc w:val="left"/>
      </w:pPr>
      <w:r>
        <w:rPr>
          <w:rFonts w:hint="eastAsia"/>
          <w:kern w:val="0"/>
          <w:szCs w:val="21"/>
        </w:rPr>
        <w:t>在</w:t>
      </w:r>
      <w:r w:rsidR="004C17CB">
        <w:rPr>
          <w:rFonts w:hint="eastAsia"/>
          <w:kern w:val="0"/>
          <w:szCs w:val="21"/>
        </w:rPr>
        <w:t>生命周期</w:t>
      </w:r>
      <w:r>
        <w:rPr>
          <w:rFonts w:hint="eastAsia"/>
          <w:kern w:val="0"/>
          <w:szCs w:val="21"/>
        </w:rPr>
        <w:t>碳足迹评估中，重点关注原辅料生产过程（包括香榧的农业生产）、运输过程、加工过程、包装过程、使用过程与包装废弃过程。</w:t>
      </w:r>
    </w:p>
    <w:p w14:paraId="5CC2E01E" w14:textId="77777777" w:rsidR="001C1073" w:rsidRDefault="005039FA">
      <w:pPr>
        <w:spacing w:line="380" w:lineRule="exact"/>
        <w:jc w:val="left"/>
        <w:rPr>
          <w:rFonts w:ascii="黑体" w:eastAsia="黑体" w:hAnsi="黑体" w:cs="Arial"/>
          <w:bCs/>
          <w:kern w:val="36"/>
          <w:szCs w:val="21"/>
          <w:shd w:val="clear" w:color="auto" w:fill="FFFFFF"/>
        </w:rPr>
      </w:pPr>
      <w:r>
        <w:rPr>
          <w:rFonts w:ascii="黑体" w:eastAsia="黑体" w:hAnsi="黑体" w:cs="Arial" w:hint="eastAsia"/>
          <w:bCs/>
          <w:kern w:val="36"/>
          <w:szCs w:val="21"/>
          <w:shd w:val="clear" w:color="auto" w:fill="FFFFFF"/>
        </w:rPr>
        <w:t>3.5  数据和数据质量要求</w:t>
      </w:r>
    </w:p>
    <w:p w14:paraId="3B1CC8EC" w14:textId="097FDFE8" w:rsidR="001C1073" w:rsidRDefault="005039FA">
      <w:pPr>
        <w:spacing w:line="380" w:lineRule="exact"/>
        <w:ind w:firstLineChars="200" w:firstLine="420"/>
        <w:rPr>
          <w:kern w:val="0"/>
          <w:szCs w:val="21"/>
        </w:rPr>
      </w:pPr>
      <w:r>
        <w:rPr>
          <w:rFonts w:hint="eastAsia"/>
        </w:rPr>
        <w:t>碳足迹评估数据分为现场数据和</w:t>
      </w:r>
      <w:r w:rsidR="00E66BC8">
        <w:rPr>
          <w:rFonts w:hint="eastAsia"/>
        </w:rPr>
        <w:t>背景</w:t>
      </w:r>
      <w:r>
        <w:rPr>
          <w:rFonts w:hint="eastAsia"/>
        </w:rPr>
        <w:t>数据。</w:t>
      </w:r>
      <w:r>
        <w:rPr>
          <w:kern w:val="0"/>
          <w:szCs w:val="21"/>
        </w:rPr>
        <w:t>现场数据包括生产数据（原材料消耗、能耗、直接排放等）、运输数据（包括运输形式、运输距离和运输量）、上游农业数据（种植密度、果实产量、化肥使用量、耗水量、能源消耗等）。</w:t>
      </w:r>
      <w:r w:rsidR="00E66BC8">
        <w:rPr>
          <w:rFonts w:hint="eastAsia"/>
          <w:kern w:val="0"/>
          <w:szCs w:val="21"/>
        </w:rPr>
        <w:t>背景</w:t>
      </w:r>
      <w:r>
        <w:rPr>
          <w:kern w:val="0"/>
          <w:szCs w:val="21"/>
        </w:rPr>
        <w:t>数据包括原辅材料与能源开采生产（包括电力生产）的生命周期清单碳足迹数据以及原材料与能源运输生命周期清单碳足迹数据。</w:t>
      </w:r>
    </w:p>
    <w:p w14:paraId="5A54E065" w14:textId="446EBDE8" w:rsidR="001C1073" w:rsidRDefault="005039FA">
      <w:pPr>
        <w:spacing w:line="380" w:lineRule="exact"/>
        <w:ind w:firstLineChars="200" w:firstLine="420"/>
        <w:rPr>
          <w:rFonts w:ascii="黑体" w:eastAsia="黑体" w:hAnsi="黑体" w:cs="Arial"/>
          <w:bCs/>
          <w:kern w:val="36"/>
          <w:szCs w:val="21"/>
          <w:shd w:val="clear" w:color="auto" w:fill="FFFFFF"/>
        </w:rPr>
      </w:pPr>
      <w:r>
        <w:rPr>
          <w:rFonts w:hint="eastAsia"/>
          <w:szCs w:val="21"/>
        </w:rPr>
        <w:t>数据质量</w:t>
      </w:r>
      <w:r>
        <w:rPr>
          <w:szCs w:val="21"/>
        </w:rPr>
        <w:t>评价体系的数据评价指标有</w:t>
      </w:r>
      <w:r>
        <w:rPr>
          <w:szCs w:val="21"/>
        </w:rPr>
        <w:t>3</w:t>
      </w:r>
      <w:r>
        <w:rPr>
          <w:szCs w:val="21"/>
        </w:rPr>
        <w:t>个：来源、类型和时间</w:t>
      </w:r>
      <w:r>
        <w:rPr>
          <w:rFonts w:hint="eastAsia"/>
          <w:szCs w:val="21"/>
        </w:rPr>
        <w:t>。针对所有现场数据、</w:t>
      </w:r>
      <w:r w:rsidR="00E66BC8">
        <w:rPr>
          <w:rFonts w:hint="eastAsia"/>
          <w:szCs w:val="21"/>
        </w:rPr>
        <w:t>背景</w:t>
      </w:r>
      <w:r>
        <w:rPr>
          <w:rFonts w:hint="eastAsia"/>
          <w:szCs w:val="21"/>
        </w:rPr>
        <w:t>数据，</w:t>
      </w:r>
      <w:r>
        <w:rPr>
          <w:rFonts w:hint="eastAsia"/>
          <w:kern w:val="0"/>
          <w:szCs w:val="21"/>
        </w:rPr>
        <w:t>应对</w:t>
      </w:r>
      <w:r>
        <w:rPr>
          <w:kern w:val="0"/>
          <w:szCs w:val="21"/>
        </w:rPr>
        <w:t>数据来源、数据时间、数据类型等</w:t>
      </w:r>
      <w:r>
        <w:rPr>
          <w:rFonts w:hint="eastAsia"/>
          <w:kern w:val="0"/>
          <w:szCs w:val="21"/>
        </w:rPr>
        <w:t>进行详细说明，用于数据质量评价</w:t>
      </w:r>
      <w:r>
        <w:rPr>
          <w:kern w:val="0"/>
          <w:szCs w:val="21"/>
        </w:rPr>
        <w:t>。</w:t>
      </w:r>
      <w:r>
        <w:rPr>
          <w:rFonts w:hint="eastAsia"/>
          <w:kern w:val="0"/>
          <w:szCs w:val="21"/>
        </w:rPr>
        <w:t>数据质量评价采用</w:t>
      </w:r>
      <w:r w:rsidR="00DC04DD">
        <w:rPr>
          <w:rFonts w:hint="eastAsia"/>
          <w:kern w:val="0"/>
          <w:szCs w:val="21"/>
        </w:rPr>
        <w:t>5</w:t>
      </w:r>
      <w:r w:rsidR="00DC04DD">
        <w:rPr>
          <w:rFonts w:hint="eastAsia"/>
          <w:kern w:val="0"/>
          <w:szCs w:val="21"/>
        </w:rPr>
        <w:t>分</w:t>
      </w:r>
      <w:r>
        <w:rPr>
          <w:rFonts w:hint="eastAsia"/>
          <w:kern w:val="0"/>
          <w:szCs w:val="21"/>
        </w:rPr>
        <w:t>制定量评价。</w:t>
      </w:r>
    </w:p>
    <w:p w14:paraId="05317AA8" w14:textId="77777777" w:rsidR="001C1073" w:rsidRDefault="005039FA">
      <w:pPr>
        <w:spacing w:line="380" w:lineRule="exact"/>
        <w:jc w:val="left"/>
        <w:rPr>
          <w:rFonts w:ascii="黑体" w:eastAsia="黑体" w:hAnsi="黑体" w:cs="Arial"/>
          <w:bCs/>
          <w:kern w:val="36"/>
          <w:szCs w:val="21"/>
          <w:shd w:val="clear" w:color="auto" w:fill="FFFFFF"/>
        </w:rPr>
      </w:pPr>
      <w:r>
        <w:rPr>
          <w:rFonts w:ascii="黑体" w:eastAsia="黑体" w:hAnsi="黑体" w:cs="Arial" w:hint="eastAsia"/>
          <w:bCs/>
          <w:kern w:val="36"/>
          <w:szCs w:val="21"/>
          <w:shd w:val="clear" w:color="auto" w:fill="FFFFFF"/>
        </w:rPr>
        <w:t>3.6  产品碳足迹生命周期清单分析</w:t>
      </w:r>
    </w:p>
    <w:p w14:paraId="563B2B17" w14:textId="77777777" w:rsidR="001C1073" w:rsidRDefault="005039FA">
      <w:pPr>
        <w:spacing w:line="380" w:lineRule="exact"/>
        <w:ind w:firstLineChars="200" w:firstLine="420"/>
        <w:jc w:val="left"/>
      </w:pPr>
      <w:r>
        <w:rPr>
          <w:rFonts w:hint="eastAsia"/>
        </w:rPr>
        <w:t>产品碳足迹生命周期清单分析包括数据收集、</w:t>
      </w:r>
      <w:r>
        <w:t>碳足迹包含的生命周期清单因子</w:t>
      </w:r>
      <w:r>
        <w:rPr>
          <w:rFonts w:hint="eastAsia"/>
        </w:rPr>
        <w:t>、计算程序、数据的分配、循环再利用环境收益计算五部分内容。</w:t>
      </w:r>
    </w:p>
    <w:p w14:paraId="36F0E3B4" w14:textId="677857C1" w:rsidR="001C1073" w:rsidRDefault="005039FA">
      <w:pPr>
        <w:spacing w:line="380" w:lineRule="exact"/>
        <w:ind w:firstLineChars="200" w:firstLine="420"/>
      </w:pPr>
      <w:r>
        <w:rPr>
          <w:rFonts w:hint="eastAsia"/>
        </w:rPr>
        <w:t>数据收集首先应明确收据收集范围，包括现场数据与</w:t>
      </w:r>
      <w:r w:rsidR="00E66BC8">
        <w:rPr>
          <w:rFonts w:hint="eastAsia"/>
        </w:rPr>
        <w:t>背景</w:t>
      </w:r>
      <w:r>
        <w:rPr>
          <w:rFonts w:hint="eastAsia"/>
        </w:rPr>
        <w:t>数据。在现场数据收集中，在保证数据质量与数据完整性的前提下，应设定一定的取舍原则，避免低于</w:t>
      </w:r>
      <w:r>
        <w:rPr>
          <w:rFonts w:hint="eastAsia"/>
        </w:rPr>
        <w:t>0</w:t>
      </w:r>
      <w:r>
        <w:t>.1%</w:t>
      </w:r>
      <w:r>
        <w:rPr>
          <w:rFonts w:hint="eastAsia"/>
        </w:rPr>
        <w:t>的物料消耗，低于</w:t>
      </w:r>
      <w:r>
        <w:rPr>
          <w:rFonts w:hint="eastAsia"/>
        </w:rPr>
        <w:t>1</w:t>
      </w:r>
      <w:r>
        <w:t>%</w:t>
      </w:r>
      <w:r>
        <w:rPr>
          <w:rFonts w:hint="eastAsia"/>
        </w:rPr>
        <w:t>的固体废弃物的排放等次要因素对碳足迹评估数据收集工作增加过多难度，同时，应避免主要生产工序外的其他基础设施、设备、生活设施对对象产品碳足迹评估过程造成影响。同时，为了数据工作的顺利进行，设定了特定的数据收集步骤与审定程序。</w:t>
      </w:r>
    </w:p>
    <w:p w14:paraId="525C3BC5" w14:textId="77777777" w:rsidR="001C1073" w:rsidRDefault="005039FA">
      <w:pPr>
        <w:spacing w:line="380" w:lineRule="exact"/>
        <w:ind w:firstLineChars="200" w:firstLine="420"/>
        <w:rPr>
          <w:szCs w:val="21"/>
        </w:rPr>
      </w:pPr>
      <w:r>
        <w:rPr>
          <w:szCs w:val="21"/>
        </w:rPr>
        <w:t>碳足迹包含的生命周期清单因子包括</w:t>
      </w:r>
      <w:bookmarkStart w:id="52" w:name="_Hlk101558620"/>
      <w:r>
        <w:rPr>
          <w:szCs w:val="21"/>
        </w:rPr>
        <w:t>二氧化碳（</w:t>
      </w:r>
      <w:r>
        <w:rPr>
          <w:szCs w:val="21"/>
        </w:rPr>
        <w:t>CO</w:t>
      </w:r>
      <w:r>
        <w:rPr>
          <w:szCs w:val="21"/>
          <w:vertAlign w:val="subscript"/>
        </w:rPr>
        <w:t>2</w:t>
      </w:r>
      <w:r>
        <w:rPr>
          <w:szCs w:val="21"/>
        </w:rPr>
        <w:t>）、甲烷（</w:t>
      </w:r>
      <w:r>
        <w:rPr>
          <w:szCs w:val="21"/>
        </w:rPr>
        <w:t>CH</w:t>
      </w:r>
      <w:r>
        <w:rPr>
          <w:szCs w:val="21"/>
          <w:vertAlign w:val="subscript"/>
        </w:rPr>
        <w:t>4</w:t>
      </w:r>
      <w:r>
        <w:rPr>
          <w:szCs w:val="21"/>
        </w:rPr>
        <w:t>）、氧化亚氮（</w:t>
      </w:r>
      <w:r>
        <w:rPr>
          <w:szCs w:val="21"/>
        </w:rPr>
        <w:t>N</w:t>
      </w:r>
      <w:r>
        <w:rPr>
          <w:szCs w:val="21"/>
          <w:vertAlign w:val="subscript"/>
        </w:rPr>
        <w:t>2</w:t>
      </w:r>
      <w:r>
        <w:rPr>
          <w:szCs w:val="21"/>
        </w:rPr>
        <w:t>O</w:t>
      </w:r>
      <w:r>
        <w:rPr>
          <w:szCs w:val="21"/>
        </w:rPr>
        <w:t>）、氢氟碳化物（</w:t>
      </w:r>
      <w:r>
        <w:rPr>
          <w:szCs w:val="21"/>
        </w:rPr>
        <w:t>HFCs</w:t>
      </w:r>
      <w:r>
        <w:rPr>
          <w:szCs w:val="21"/>
        </w:rPr>
        <w:t>）、全氟碳化物（</w:t>
      </w:r>
      <w:r>
        <w:rPr>
          <w:szCs w:val="21"/>
        </w:rPr>
        <w:t>PFCs</w:t>
      </w:r>
      <w:r>
        <w:rPr>
          <w:szCs w:val="21"/>
        </w:rPr>
        <w:t>）、六氟化硫（</w:t>
      </w:r>
      <w:r>
        <w:rPr>
          <w:szCs w:val="21"/>
        </w:rPr>
        <w:t>SF</w:t>
      </w:r>
      <w:r>
        <w:rPr>
          <w:szCs w:val="21"/>
          <w:vertAlign w:val="subscript"/>
        </w:rPr>
        <w:t>6</w:t>
      </w:r>
      <w:r>
        <w:rPr>
          <w:szCs w:val="21"/>
        </w:rPr>
        <w:t>）、</w:t>
      </w:r>
      <w:r>
        <w:rPr>
          <w:rFonts w:hint="eastAsia"/>
          <w:szCs w:val="21"/>
        </w:rPr>
        <w:t>三氟化氮（</w:t>
      </w:r>
      <w:r>
        <w:rPr>
          <w:rFonts w:hint="eastAsia"/>
          <w:szCs w:val="21"/>
        </w:rPr>
        <w:t>NF</w:t>
      </w:r>
      <w:r>
        <w:rPr>
          <w:rFonts w:hint="eastAsia"/>
          <w:szCs w:val="21"/>
          <w:vertAlign w:val="subscript"/>
        </w:rPr>
        <w:t>3</w:t>
      </w:r>
      <w:r>
        <w:rPr>
          <w:rFonts w:hint="eastAsia"/>
          <w:szCs w:val="21"/>
        </w:rPr>
        <w:t>）</w:t>
      </w:r>
      <w:r>
        <w:rPr>
          <w:szCs w:val="21"/>
        </w:rPr>
        <w:t>。</w:t>
      </w:r>
      <w:r>
        <w:rPr>
          <w:rFonts w:hint="eastAsia"/>
          <w:szCs w:val="21"/>
        </w:rPr>
        <w:t>数据来源于</w:t>
      </w:r>
      <w:r>
        <w:rPr>
          <w:rFonts w:hint="eastAsia"/>
          <w:szCs w:val="21"/>
        </w:rPr>
        <w:t>IPCC</w:t>
      </w:r>
      <w:r>
        <w:rPr>
          <w:rFonts w:hint="eastAsia"/>
          <w:szCs w:val="21"/>
        </w:rPr>
        <w:t>第六次评估报告《</w:t>
      </w:r>
      <w:r>
        <w:rPr>
          <w:rFonts w:hint="eastAsia"/>
          <w:szCs w:val="21"/>
        </w:rPr>
        <w:t>2021</w:t>
      </w:r>
      <w:r>
        <w:rPr>
          <w:rFonts w:hint="eastAsia"/>
          <w:szCs w:val="21"/>
        </w:rPr>
        <w:t>年气候变化：自然科学基础》（</w:t>
      </w:r>
      <w:r>
        <w:rPr>
          <w:szCs w:val="21"/>
        </w:rPr>
        <w:t>IPCC AR6 WG</w:t>
      </w:r>
      <w:r>
        <w:rPr>
          <w:rFonts w:hint="eastAsia"/>
          <w:szCs w:val="21"/>
        </w:rPr>
        <w:t>I</w:t>
      </w:r>
      <w:r>
        <w:rPr>
          <w:szCs w:val="21"/>
        </w:rPr>
        <w:t>）</w:t>
      </w:r>
      <w:r>
        <w:rPr>
          <w:rFonts w:hint="eastAsia"/>
          <w:szCs w:val="21"/>
        </w:rPr>
        <w:t>。</w:t>
      </w:r>
    </w:p>
    <w:bookmarkEnd w:id="52"/>
    <w:p w14:paraId="376DC411" w14:textId="77777777" w:rsidR="001C1073" w:rsidRDefault="005039FA">
      <w:pPr>
        <w:spacing w:line="380" w:lineRule="exact"/>
        <w:ind w:firstLineChars="200" w:firstLine="420"/>
        <w:jc w:val="left"/>
      </w:pPr>
      <w:r>
        <w:rPr>
          <w:rFonts w:hint="eastAsia"/>
        </w:rPr>
        <w:t>通过设定数据确认、数据与单元过程的关联、数据与功能单位的关联、数据合并、生命周期清单计算方法的特定计算程序，保证数据的标准化计算步骤。</w:t>
      </w:r>
    </w:p>
    <w:p w14:paraId="09078F4E" w14:textId="41D16438" w:rsidR="001C1073" w:rsidRDefault="005039FA">
      <w:pPr>
        <w:spacing w:line="380" w:lineRule="exact"/>
        <w:ind w:firstLineChars="200" w:firstLine="420"/>
        <w:jc w:val="left"/>
      </w:pPr>
      <w:r>
        <w:rPr>
          <w:rFonts w:hint="eastAsia"/>
        </w:rPr>
        <w:t>在香榧油生产加工过程中，</w:t>
      </w:r>
      <w:r w:rsidR="00DC04DD">
        <w:rPr>
          <w:szCs w:val="21"/>
        </w:rPr>
        <w:t>生产工序有多种产品，</w:t>
      </w:r>
      <w:r w:rsidR="00DC04DD">
        <w:rPr>
          <w:rFonts w:hint="eastAsia"/>
          <w:szCs w:val="21"/>
        </w:rPr>
        <w:t>且</w:t>
      </w:r>
      <w:r w:rsidR="00DC04DD">
        <w:rPr>
          <w:szCs w:val="21"/>
        </w:rPr>
        <w:t>投入的原材料和能源</w:t>
      </w:r>
      <w:r w:rsidR="00DC04DD">
        <w:rPr>
          <w:rFonts w:hint="eastAsia"/>
          <w:szCs w:val="21"/>
        </w:rPr>
        <w:t>无法分开</w:t>
      </w:r>
      <w:r w:rsidR="00DC04DD">
        <w:rPr>
          <w:szCs w:val="21"/>
        </w:rPr>
        <w:t>时</w:t>
      </w:r>
      <w:r w:rsidR="00DC04DD">
        <w:rPr>
          <w:rFonts w:hint="eastAsia"/>
          <w:szCs w:val="21"/>
        </w:rPr>
        <w:t>，</w:t>
      </w:r>
      <w:r w:rsidR="00DC04DD">
        <w:rPr>
          <w:szCs w:val="21"/>
        </w:rPr>
        <w:t>单元过程数据需要进行分配。</w:t>
      </w:r>
      <w:r w:rsidR="00DC04DD">
        <w:rPr>
          <w:rFonts w:hint="eastAsia"/>
          <w:szCs w:val="21"/>
        </w:rPr>
        <w:t>例如香榧油加工过程，</w:t>
      </w:r>
      <w:r>
        <w:rPr>
          <w:rFonts w:hint="eastAsia"/>
        </w:rPr>
        <w:t>除了产生产品香榧毛油，还会产生副产品香榧</w:t>
      </w:r>
      <w:r>
        <w:rPr>
          <w:rFonts w:hint="eastAsia"/>
          <w:szCs w:val="21"/>
        </w:rPr>
        <w:t>饼粕，香榧毛油可用于精制生成香榧油，</w:t>
      </w:r>
      <w:r>
        <w:rPr>
          <w:rFonts w:hint="eastAsia"/>
        </w:rPr>
        <w:t>香榧</w:t>
      </w:r>
      <w:r>
        <w:rPr>
          <w:rFonts w:hint="eastAsia"/>
          <w:szCs w:val="21"/>
        </w:rPr>
        <w:t>饼粕可用于加工为脱脂香榧粉或用于香榧酒酿造。针对该生产过程，</w:t>
      </w:r>
      <w:r>
        <w:rPr>
          <w:szCs w:val="21"/>
        </w:rPr>
        <w:t>投入的原材料和能源</w:t>
      </w:r>
      <w:r>
        <w:rPr>
          <w:rFonts w:hint="eastAsia"/>
          <w:szCs w:val="21"/>
        </w:rPr>
        <w:t>无法分开。针对此情况，应根据一定原则对碳足迹在两种产品中进行分配。采用</w:t>
      </w:r>
      <w:r w:rsidR="00DC04DD">
        <w:rPr>
          <w:rFonts w:hint="eastAsia"/>
          <w:szCs w:val="21"/>
        </w:rPr>
        <w:t>根据产品估值</w:t>
      </w:r>
      <w:r>
        <w:rPr>
          <w:rFonts w:hint="eastAsia"/>
          <w:szCs w:val="21"/>
        </w:rPr>
        <w:t>分配的方法，</w:t>
      </w:r>
      <w:r w:rsidR="00DC04DD">
        <w:rPr>
          <w:rFonts w:hint="eastAsia"/>
          <w:szCs w:val="21"/>
        </w:rPr>
        <w:t>符合碳足迹分配的基本准则</w:t>
      </w:r>
      <w:r>
        <w:rPr>
          <w:rFonts w:hint="eastAsia"/>
          <w:szCs w:val="21"/>
        </w:rPr>
        <w:t>。</w:t>
      </w:r>
    </w:p>
    <w:p w14:paraId="02114F9F" w14:textId="77777777" w:rsidR="001C1073" w:rsidRPr="006B0567" w:rsidRDefault="005039FA">
      <w:pPr>
        <w:spacing w:line="380" w:lineRule="exact"/>
        <w:ind w:firstLineChars="200" w:firstLine="420"/>
        <w:rPr>
          <w:szCs w:val="21"/>
        </w:rPr>
      </w:pPr>
      <w:r>
        <w:rPr>
          <w:szCs w:val="21"/>
        </w:rPr>
        <w:t>副产品</w:t>
      </w:r>
      <w:r>
        <w:rPr>
          <w:rFonts w:hint="eastAsia"/>
          <w:szCs w:val="21"/>
        </w:rPr>
        <w:t>的循环</w:t>
      </w:r>
      <w:r>
        <w:rPr>
          <w:szCs w:val="21"/>
        </w:rPr>
        <w:t>再利用</w:t>
      </w:r>
      <w:r>
        <w:rPr>
          <w:rFonts w:hint="eastAsia"/>
          <w:szCs w:val="21"/>
        </w:rPr>
        <w:t>可产生</w:t>
      </w:r>
      <w:r>
        <w:rPr>
          <w:szCs w:val="21"/>
        </w:rPr>
        <w:t>环境收益，</w:t>
      </w:r>
      <w:r>
        <w:rPr>
          <w:rFonts w:hint="eastAsia"/>
          <w:szCs w:val="21"/>
        </w:rPr>
        <w:t>应纳入产品碳足迹评估的计算范围。</w:t>
      </w:r>
      <w:r>
        <w:rPr>
          <w:szCs w:val="21"/>
        </w:rPr>
        <w:t>按照系统扩展法计算，即根据副产品的实际用途，抵扣其所替代的产品的环境负荷。例如：</w:t>
      </w:r>
      <w:r>
        <w:rPr>
          <w:rFonts w:hint="eastAsia"/>
          <w:szCs w:val="21"/>
        </w:rPr>
        <w:t>香榧假种皮发酵产生的有机肥，替代部分化肥施用于香榧林，其环境收益为所替代化肥生产过程的环境负荷</w:t>
      </w:r>
      <w:r>
        <w:rPr>
          <w:szCs w:val="21"/>
        </w:rPr>
        <w:t>。</w:t>
      </w:r>
      <w:r w:rsidR="006B0567">
        <w:rPr>
          <w:rFonts w:hint="eastAsia"/>
          <w:szCs w:val="21"/>
        </w:rPr>
        <w:t>香榧酒生产过程中产生的香榧酒糟可以用于生产沼气，沼气可用于白酒蒸馏过程蒸汽的生产，其环境收益为沼气使用的环境负荷。</w:t>
      </w:r>
    </w:p>
    <w:p w14:paraId="6D2847A6" w14:textId="77777777" w:rsidR="001C1073" w:rsidRDefault="005039FA">
      <w:pPr>
        <w:spacing w:line="380" w:lineRule="exact"/>
        <w:jc w:val="left"/>
        <w:rPr>
          <w:rFonts w:ascii="黑体" w:eastAsia="黑体" w:hAnsi="黑体" w:cs="Arial"/>
          <w:bCs/>
          <w:kern w:val="36"/>
          <w:szCs w:val="21"/>
          <w:shd w:val="clear" w:color="auto" w:fill="FFFFFF"/>
        </w:rPr>
      </w:pPr>
      <w:r>
        <w:rPr>
          <w:rFonts w:ascii="黑体" w:eastAsia="黑体" w:hAnsi="黑体" w:cs="Arial" w:hint="eastAsia"/>
          <w:bCs/>
          <w:kern w:val="36"/>
          <w:szCs w:val="21"/>
          <w:shd w:val="clear" w:color="auto" w:fill="FFFFFF"/>
        </w:rPr>
        <w:t>3.</w:t>
      </w:r>
      <w:r>
        <w:rPr>
          <w:rFonts w:ascii="黑体" w:eastAsia="黑体" w:hAnsi="黑体" w:cs="Arial"/>
          <w:bCs/>
          <w:kern w:val="36"/>
          <w:szCs w:val="21"/>
          <w:shd w:val="clear" w:color="auto" w:fill="FFFFFF"/>
        </w:rPr>
        <w:t>7</w:t>
      </w:r>
      <w:r>
        <w:rPr>
          <w:rFonts w:ascii="黑体" w:eastAsia="黑体" w:hAnsi="黑体" w:cs="Arial" w:hint="eastAsia"/>
          <w:bCs/>
          <w:kern w:val="36"/>
          <w:szCs w:val="21"/>
          <w:shd w:val="clear" w:color="auto" w:fill="FFFFFF"/>
        </w:rPr>
        <w:t xml:space="preserve">  碳足迹量化评价</w:t>
      </w:r>
    </w:p>
    <w:p w14:paraId="3D5190AF" w14:textId="77777777" w:rsidR="001C1073" w:rsidRDefault="005039FA">
      <w:pPr>
        <w:spacing w:line="380" w:lineRule="exact"/>
        <w:ind w:firstLineChars="200" w:firstLine="420"/>
      </w:pPr>
      <w:r>
        <w:rPr>
          <w:rFonts w:hint="eastAsia"/>
        </w:rPr>
        <w:t>碳足迹量化评价包括碳足迹量化评价方法、温室气体全球变暖潜力、碳足迹量化评价公式等内容。</w:t>
      </w:r>
      <w:r>
        <w:rPr>
          <w:szCs w:val="21"/>
        </w:rPr>
        <w:t>产品碳足迹的量化评价采用温室气体</w:t>
      </w:r>
      <w:r>
        <w:rPr>
          <w:szCs w:val="21"/>
        </w:rPr>
        <w:t>100</w:t>
      </w:r>
      <w:r>
        <w:rPr>
          <w:szCs w:val="21"/>
        </w:rPr>
        <w:t>年内的全球变暖潜力（</w:t>
      </w:r>
      <w:r>
        <w:rPr>
          <w:szCs w:val="21"/>
        </w:rPr>
        <w:t>GWP100</w:t>
      </w:r>
      <w:r>
        <w:rPr>
          <w:szCs w:val="21"/>
        </w:rPr>
        <w:t>）</w:t>
      </w:r>
      <w:r>
        <w:rPr>
          <w:rFonts w:hint="eastAsia"/>
          <w:szCs w:val="21"/>
        </w:rPr>
        <w:t>，文件内包括的</w:t>
      </w:r>
      <w:r>
        <w:rPr>
          <w:szCs w:val="21"/>
        </w:rPr>
        <w:t>二氧化碳（</w:t>
      </w:r>
      <w:r>
        <w:rPr>
          <w:szCs w:val="21"/>
        </w:rPr>
        <w:t>CO</w:t>
      </w:r>
      <w:r>
        <w:rPr>
          <w:szCs w:val="21"/>
          <w:vertAlign w:val="subscript"/>
        </w:rPr>
        <w:t>2</w:t>
      </w:r>
      <w:r>
        <w:rPr>
          <w:szCs w:val="21"/>
        </w:rPr>
        <w:t>）、甲烷（</w:t>
      </w:r>
      <w:r>
        <w:rPr>
          <w:szCs w:val="21"/>
        </w:rPr>
        <w:t>CH</w:t>
      </w:r>
      <w:r>
        <w:rPr>
          <w:szCs w:val="21"/>
          <w:vertAlign w:val="subscript"/>
        </w:rPr>
        <w:t>4</w:t>
      </w:r>
      <w:r>
        <w:rPr>
          <w:szCs w:val="21"/>
        </w:rPr>
        <w:t>）、氧化亚氮（</w:t>
      </w:r>
      <w:r>
        <w:rPr>
          <w:szCs w:val="21"/>
        </w:rPr>
        <w:t>N</w:t>
      </w:r>
      <w:r>
        <w:rPr>
          <w:szCs w:val="21"/>
          <w:vertAlign w:val="subscript"/>
        </w:rPr>
        <w:t>2</w:t>
      </w:r>
      <w:r>
        <w:rPr>
          <w:szCs w:val="21"/>
        </w:rPr>
        <w:t>O</w:t>
      </w:r>
      <w:r>
        <w:rPr>
          <w:szCs w:val="21"/>
        </w:rPr>
        <w:t>）、氢氟碳化物（</w:t>
      </w:r>
      <w:r>
        <w:rPr>
          <w:szCs w:val="21"/>
        </w:rPr>
        <w:t>HFCs</w:t>
      </w:r>
      <w:r>
        <w:rPr>
          <w:szCs w:val="21"/>
        </w:rPr>
        <w:t>）、全氟碳化物（</w:t>
      </w:r>
      <w:r>
        <w:rPr>
          <w:szCs w:val="21"/>
        </w:rPr>
        <w:t>PFCs</w:t>
      </w:r>
      <w:r>
        <w:rPr>
          <w:szCs w:val="21"/>
        </w:rPr>
        <w:t>）、六氟化硫（</w:t>
      </w:r>
      <w:r>
        <w:rPr>
          <w:szCs w:val="21"/>
        </w:rPr>
        <w:t>SF</w:t>
      </w:r>
      <w:r>
        <w:rPr>
          <w:szCs w:val="21"/>
          <w:vertAlign w:val="subscript"/>
        </w:rPr>
        <w:t>6</w:t>
      </w:r>
      <w:r>
        <w:rPr>
          <w:szCs w:val="21"/>
        </w:rPr>
        <w:t>）、</w:t>
      </w:r>
      <w:r>
        <w:rPr>
          <w:rFonts w:hint="eastAsia"/>
          <w:szCs w:val="21"/>
        </w:rPr>
        <w:lastRenderedPageBreak/>
        <w:t>三氟化氮（</w:t>
      </w:r>
      <w:r>
        <w:rPr>
          <w:rFonts w:hint="eastAsia"/>
          <w:szCs w:val="21"/>
        </w:rPr>
        <w:t>NF</w:t>
      </w:r>
      <w:r>
        <w:rPr>
          <w:rFonts w:hint="eastAsia"/>
          <w:szCs w:val="21"/>
          <w:vertAlign w:val="subscript"/>
        </w:rPr>
        <w:t>3</w:t>
      </w:r>
      <w:r>
        <w:rPr>
          <w:rFonts w:hint="eastAsia"/>
          <w:szCs w:val="21"/>
        </w:rPr>
        <w:t>）均在碳足迹量化评价的统计范围内。</w:t>
      </w:r>
    </w:p>
    <w:p w14:paraId="7D287132" w14:textId="77777777" w:rsidR="001C1073" w:rsidRDefault="005039FA">
      <w:pPr>
        <w:spacing w:line="380" w:lineRule="exact"/>
        <w:rPr>
          <w:rFonts w:ascii="黑体" w:eastAsia="黑体" w:hAnsi="黑体" w:cs="Arial"/>
          <w:bCs/>
          <w:kern w:val="36"/>
          <w:szCs w:val="21"/>
          <w:shd w:val="clear" w:color="auto" w:fill="FFFFFF"/>
        </w:rPr>
      </w:pPr>
      <w:r w:rsidRPr="009A489E">
        <w:rPr>
          <w:rFonts w:ascii="黑体" w:eastAsia="黑体" w:hAnsi="黑体" w:cs="Arial" w:hint="eastAsia"/>
          <w:bCs/>
          <w:kern w:val="36"/>
          <w:szCs w:val="21"/>
          <w:shd w:val="clear" w:color="auto" w:fill="FFFFFF"/>
        </w:rPr>
        <w:t>4  标准解决的主要问题</w:t>
      </w:r>
    </w:p>
    <w:p w14:paraId="138B9363" w14:textId="77777777" w:rsidR="0007250F" w:rsidRDefault="005039FA" w:rsidP="002925C1">
      <w:pPr>
        <w:spacing w:line="380" w:lineRule="exact"/>
        <w:ind w:firstLineChars="200" w:firstLine="420"/>
      </w:pPr>
      <w:r>
        <w:rPr>
          <w:rFonts w:hint="eastAsia"/>
        </w:rPr>
        <w:t>碳足迹评估技术在近年来得到快速发展，国内外均形成了大量产品种类规则</w:t>
      </w:r>
      <w:r w:rsidR="006B0567">
        <w:rPr>
          <w:rFonts w:hint="eastAsia"/>
        </w:rPr>
        <w:t>（</w:t>
      </w:r>
      <w:r w:rsidR="006B0567">
        <w:rPr>
          <w:rFonts w:hint="eastAsia"/>
        </w:rPr>
        <w:t>PCR</w:t>
      </w:r>
      <w:r w:rsidR="006B0567">
        <w:rPr>
          <w:rFonts w:hint="eastAsia"/>
        </w:rPr>
        <w:t>）</w:t>
      </w:r>
      <w:r>
        <w:rPr>
          <w:rFonts w:hint="eastAsia"/>
        </w:rPr>
        <w:t>，用于对不同产品进行标准化的碳足迹评估，但仍存在较多空缺，钢铁、建材等领域的标准化碳足迹评估技术发展较为领先，在农业领域发展相对较为滞后。农产品碳足迹评估的分析对象具有复杂性，无法采用统一的方法，应根据实际对象确定研究范围和功能单位。</w:t>
      </w:r>
    </w:p>
    <w:p w14:paraId="6CA1F921" w14:textId="77777777" w:rsidR="001C1073" w:rsidRDefault="005039FA" w:rsidP="002925C1">
      <w:pPr>
        <w:spacing w:line="380" w:lineRule="exact"/>
        <w:ind w:firstLineChars="200" w:firstLine="420"/>
      </w:pPr>
      <w:r>
        <w:rPr>
          <w:rFonts w:hint="eastAsia"/>
        </w:rPr>
        <w:t>香榧及香榧加工产品作为浙江会稽山一带地方特色农林产品，</w:t>
      </w:r>
      <w:r w:rsidR="004B4F1C">
        <w:rPr>
          <w:rFonts w:hint="eastAsia"/>
        </w:rPr>
        <w:t>在浙江省及周边地区具有广泛的市场</w:t>
      </w:r>
      <w:r w:rsidR="0084302B">
        <w:rPr>
          <w:rFonts w:hint="eastAsia"/>
        </w:rPr>
        <w:t>。</w:t>
      </w:r>
      <w:r w:rsidR="0084302B">
        <w:rPr>
          <w:rFonts w:ascii="宋体" w:hAnsi="宋体" w:hint="eastAsia"/>
          <w:szCs w:val="21"/>
        </w:rPr>
        <w:t>为了响应“碳达峰、碳中和”目标，</w:t>
      </w:r>
      <w:r w:rsidR="004B4F1C">
        <w:rPr>
          <w:rFonts w:ascii="宋体" w:hAnsi="宋体" w:hint="eastAsia"/>
          <w:szCs w:val="21"/>
        </w:rPr>
        <w:t>香榧与香榧加工产品的制造企业</w:t>
      </w:r>
      <w:r w:rsidR="0084302B">
        <w:rPr>
          <w:rFonts w:ascii="宋体" w:hAnsi="宋体" w:hint="eastAsia"/>
          <w:szCs w:val="21"/>
        </w:rPr>
        <w:t>需要通过碳足迹评估的手段，摸清温室气体排放家底，从而为减碳工作打好坚实的数据基础</w:t>
      </w:r>
      <w:r w:rsidR="0007250F">
        <w:rPr>
          <w:rFonts w:ascii="宋体" w:hAnsi="宋体" w:hint="eastAsia"/>
          <w:szCs w:val="21"/>
        </w:rPr>
        <w:t>，</w:t>
      </w:r>
      <w:r w:rsidR="004B4F1C">
        <w:rPr>
          <w:rFonts w:ascii="宋体" w:hAnsi="宋体" w:hint="eastAsia"/>
          <w:szCs w:val="21"/>
        </w:rPr>
        <w:t>因此</w:t>
      </w:r>
      <w:r>
        <w:rPr>
          <w:rFonts w:hint="eastAsia"/>
        </w:rPr>
        <w:t>对</w:t>
      </w:r>
      <w:r w:rsidR="004B4F1C">
        <w:rPr>
          <w:rFonts w:hint="eastAsia"/>
        </w:rPr>
        <w:t>香榧与香榧加工产品</w:t>
      </w:r>
      <w:r>
        <w:rPr>
          <w:rFonts w:hint="eastAsia"/>
        </w:rPr>
        <w:t>标准化碳足迹评估技术的需求较为迫切。本文件填补了香榧与香榧加工产品碳</w:t>
      </w:r>
      <w:r w:rsidR="0084302B">
        <w:rPr>
          <w:rFonts w:hint="eastAsia"/>
        </w:rPr>
        <w:t>足迹评估技术领域的</w:t>
      </w:r>
      <w:r w:rsidR="004B4F1C">
        <w:rPr>
          <w:rFonts w:hint="eastAsia"/>
        </w:rPr>
        <w:t>标准</w:t>
      </w:r>
      <w:r>
        <w:rPr>
          <w:rFonts w:hint="eastAsia"/>
        </w:rPr>
        <w:t>空白。同时，香榧及香榧加工产品的碳足迹评估工作，在农产品及农产品加工行业具有代表性，是农业领域碳足迹评估标准化的有效探索和实践，可推动农</w:t>
      </w:r>
      <w:r w:rsidR="0007250F">
        <w:rPr>
          <w:rFonts w:hint="eastAsia"/>
        </w:rPr>
        <w:t>林</w:t>
      </w:r>
      <w:r>
        <w:rPr>
          <w:rFonts w:hint="eastAsia"/>
        </w:rPr>
        <w:t>业、农产品加工行业碳足迹评估技术的标准化工作。</w:t>
      </w:r>
    </w:p>
    <w:p w14:paraId="1CDF61B9"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bookmarkStart w:id="53" w:name="_Toc100560687"/>
      <w:bookmarkStart w:id="54" w:name="_Toc41998705"/>
      <w:r>
        <w:rPr>
          <w:rFonts w:ascii="黑体" w:eastAsia="黑体" w:hAnsi="黑体" w:cs="Arial" w:hint="eastAsia"/>
          <w:b w:val="0"/>
          <w:sz w:val="21"/>
          <w:szCs w:val="21"/>
          <w:shd w:val="clear" w:color="auto" w:fill="FFFFFF"/>
        </w:rPr>
        <w:t>三</w:t>
      </w:r>
      <w:r w:rsidR="00FD5579">
        <w:rPr>
          <w:rFonts w:ascii="黑体" w:eastAsia="黑体" w:hAnsi="黑体" w:cs="Arial" w:hint="eastAsia"/>
          <w:b w:val="0"/>
          <w:sz w:val="21"/>
          <w:szCs w:val="21"/>
          <w:shd w:val="clear" w:color="auto" w:fill="FFFFFF"/>
        </w:rPr>
        <w:t>、</w:t>
      </w:r>
      <w:r>
        <w:rPr>
          <w:rFonts w:ascii="黑体" w:eastAsia="黑体" w:hAnsi="黑体" w:cs="Arial" w:hint="eastAsia"/>
          <w:b w:val="0"/>
          <w:sz w:val="21"/>
          <w:szCs w:val="21"/>
          <w:shd w:val="clear" w:color="auto" w:fill="FFFFFF"/>
        </w:rPr>
        <w:t>是否有</w:t>
      </w:r>
      <w:r>
        <w:rPr>
          <w:rFonts w:ascii="黑体" w:eastAsia="黑体" w:hAnsi="黑体" w:cs="Arial"/>
          <w:b w:val="0"/>
          <w:sz w:val="21"/>
          <w:szCs w:val="21"/>
          <w:shd w:val="clear" w:color="auto" w:fill="FFFFFF"/>
        </w:rPr>
        <w:t>对应的国家标准或行业标准</w:t>
      </w:r>
      <w:bookmarkEnd w:id="53"/>
    </w:p>
    <w:p w14:paraId="40B4BE10" w14:textId="77777777" w:rsidR="001C1073" w:rsidRDefault="005039FA" w:rsidP="0007250F">
      <w:pPr>
        <w:pStyle w:val="a3"/>
        <w:snapToGrid w:val="0"/>
        <w:spacing w:before="0" w:beforeAutospacing="0" w:after="0" w:afterAutospacing="0" w:line="380" w:lineRule="exact"/>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t>本文件制定</w:t>
      </w:r>
      <w:r>
        <w:rPr>
          <w:rFonts w:ascii="宋体" w:eastAsia="宋体" w:hAnsi="宋体" w:cs="Times New Roman"/>
          <w:sz w:val="21"/>
          <w:szCs w:val="21"/>
        </w:rPr>
        <w:t>中</w:t>
      </w:r>
      <w:r>
        <w:rPr>
          <w:rFonts w:ascii="宋体" w:eastAsia="宋体" w:hAnsi="宋体" w:cs="Times New Roman" w:hint="eastAsia"/>
          <w:sz w:val="21"/>
          <w:szCs w:val="21"/>
        </w:rPr>
        <w:t>未</w:t>
      </w:r>
      <w:r>
        <w:rPr>
          <w:rFonts w:ascii="宋体" w:eastAsia="宋体" w:hAnsi="宋体" w:cs="Times New Roman"/>
          <w:sz w:val="21"/>
          <w:szCs w:val="21"/>
        </w:rPr>
        <w:t>检索到对应的国家标准或行业标准</w:t>
      </w:r>
      <w:r>
        <w:rPr>
          <w:rFonts w:ascii="宋体" w:eastAsia="宋体" w:hAnsi="宋体" w:cs="Times New Roman" w:hint="eastAsia"/>
          <w:sz w:val="21"/>
          <w:szCs w:val="21"/>
        </w:rPr>
        <w:t>。</w:t>
      </w:r>
    </w:p>
    <w:p w14:paraId="70EC4D11"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bookmarkStart w:id="55" w:name="_Toc100560688"/>
      <w:r w:rsidRPr="009A489E">
        <w:rPr>
          <w:rFonts w:ascii="黑体" w:eastAsia="黑体" w:hAnsi="黑体" w:cs="Arial" w:hint="eastAsia"/>
          <w:b w:val="0"/>
          <w:sz w:val="21"/>
          <w:szCs w:val="21"/>
          <w:shd w:val="clear" w:color="auto" w:fill="FFFFFF"/>
        </w:rPr>
        <w:t>四</w:t>
      </w:r>
      <w:r w:rsidR="00FD5579">
        <w:rPr>
          <w:rFonts w:ascii="黑体" w:eastAsia="黑体" w:hAnsi="黑体" w:cs="Arial" w:hint="eastAsia"/>
          <w:b w:val="0"/>
          <w:sz w:val="21"/>
          <w:szCs w:val="21"/>
          <w:shd w:val="clear" w:color="auto" w:fill="FFFFFF"/>
        </w:rPr>
        <w:t>、</w:t>
      </w:r>
      <w:r w:rsidRPr="009A489E">
        <w:rPr>
          <w:rFonts w:ascii="黑体" w:eastAsia="黑体" w:hAnsi="黑体" w:cs="Arial"/>
          <w:b w:val="0"/>
          <w:sz w:val="21"/>
          <w:szCs w:val="21"/>
          <w:shd w:val="clear" w:color="auto" w:fill="FFFFFF"/>
        </w:rPr>
        <w:t>主要试验（或验证）</w:t>
      </w:r>
      <w:r w:rsidRPr="009A489E">
        <w:rPr>
          <w:rFonts w:ascii="黑体" w:eastAsia="黑体" w:hAnsi="黑体" w:cs="Arial" w:hint="eastAsia"/>
          <w:b w:val="0"/>
          <w:sz w:val="21"/>
          <w:szCs w:val="21"/>
          <w:shd w:val="clear" w:color="auto" w:fill="FFFFFF"/>
        </w:rPr>
        <w:t>情况</w:t>
      </w:r>
      <w:r w:rsidRPr="009A489E">
        <w:rPr>
          <w:rFonts w:ascii="黑体" w:eastAsia="黑体" w:hAnsi="黑体" w:cs="Arial"/>
          <w:b w:val="0"/>
          <w:sz w:val="21"/>
          <w:szCs w:val="21"/>
          <w:shd w:val="clear" w:color="auto" w:fill="FFFFFF"/>
        </w:rPr>
        <w:t>分析</w:t>
      </w:r>
      <w:bookmarkEnd w:id="54"/>
      <w:bookmarkEnd w:id="55"/>
    </w:p>
    <w:p w14:paraId="34557C8A" w14:textId="77777777" w:rsidR="001C1073" w:rsidRPr="009A489E" w:rsidRDefault="000A675F" w:rsidP="002925C1">
      <w:pPr>
        <w:spacing w:line="380" w:lineRule="exact"/>
        <w:ind w:firstLineChars="200" w:firstLine="420"/>
        <w:rPr>
          <w:rFonts w:ascii="黑体" w:eastAsia="黑体" w:hAnsi="黑体" w:cs="Arial"/>
          <w:b/>
          <w:szCs w:val="21"/>
          <w:shd w:val="clear" w:color="auto" w:fill="FFFFFF"/>
        </w:rPr>
      </w:pPr>
      <w:r>
        <w:rPr>
          <w:rFonts w:ascii="宋体" w:hAnsi="宋体" w:hint="eastAsia"/>
          <w:szCs w:val="21"/>
        </w:rPr>
        <w:t>在双碳背景下，国内</w:t>
      </w:r>
      <w:r w:rsidR="00B35152">
        <w:rPr>
          <w:rFonts w:ascii="宋体" w:hAnsi="宋体" w:hint="eastAsia"/>
          <w:szCs w:val="21"/>
        </w:rPr>
        <w:t>碳排放核算行业指南（包括试行指南）覆盖面不够完善</w:t>
      </w:r>
      <w:r w:rsidR="003F6561">
        <w:rPr>
          <w:rFonts w:ascii="宋体" w:hAnsi="宋体" w:hint="eastAsia"/>
          <w:szCs w:val="21"/>
        </w:rPr>
        <w:t>。</w:t>
      </w:r>
      <w:r w:rsidR="00B35152">
        <w:rPr>
          <w:rFonts w:ascii="宋体" w:hAnsi="宋体" w:hint="eastAsia"/>
          <w:szCs w:val="21"/>
        </w:rPr>
        <w:t>较多指南外其它</w:t>
      </w:r>
      <w:r>
        <w:rPr>
          <w:rFonts w:ascii="宋体" w:hAnsi="宋体" w:hint="eastAsia"/>
          <w:szCs w:val="21"/>
        </w:rPr>
        <w:t>行业</w:t>
      </w:r>
      <w:r w:rsidR="00B35152">
        <w:rPr>
          <w:rFonts w:ascii="宋体" w:hAnsi="宋体" w:hint="eastAsia"/>
          <w:szCs w:val="21"/>
        </w:rPr>
        <w:t>的</w:t>
      </w:r>
      <w:r>
        <w:rPr>
          <w:rFonts w:ascii="宋体" w:hAnsi="宋体" w:hint="eastAsia"/>
          <w:szCs w:val="21"/>
        </w:rPr>
        <w:t>碳排放核算工作开始萌发技术、指南、标准方面的需求</w:t>
      </w:r>
      <w:r w:rsidR="003F6561">
        <w:rPr>
          <w:rFonts w:ascii="宋体" w:hAnsi="宋体" w:hint="eastAsia"/>
          <w:szCs w:val="21"/>
        </w:rPr>
        <w:t>，但相关工作刚刚起步</w:t>
      </w:r>
      <w:r w:rsidR="00B35152">
        <w:rPr>
          <w:rFonts w:ascii="宋体" w:hAnsi="宋体" w:hint="eastAsia"/>
          <w:szCs w:val="21"/>
        </w:rPr>
        <w:t>。</w:t>
      </w:r>
      <w:r w:rsidR="005039FA">
        <w:rPr>
          <w:rFonts w:ascii="宋体" w:hAnsi="宋体" w:hint="eastAsia"/>
          <w:szCs w:val="21"/>
        </w:rPr>
        <w:t>香榧与香榧加工产品</w:t>
      </w:r>
      <w:r w:rsidR="004B4F1C">
        <w:rPr>
          <w:rFonts w:ascii="宋体" w:hAnsi="宋体" w:hint="eastAsia"/>
          <w:szCs w:val="21"/>
        </w:rPr>
        <w:t>缺少碳足迹评估相关标准，因此国内没有实际案例，下面将介绍本</w:t>
      </w:r>
      <w:r w:rsidR="004C17CB">
        <w:rPr>
          <w:rFonts w:ascii="宋体" w:hAnsi="宋体" w:hint="eastAsia"/>
          <w:szCs w:val="21"/>
        </w:rPr>
        <w:t>文件</w:t>
      </w:r>
      <w:r w:rsidR="004B4F1C">
        <w:rPr>
          <w:rFonts w:ascii="宋体" w:hAnsi="宋体" w:hint="eastAsia"/>
          <w:szCs w:val="21"/>
        </w:rPr>
        <w:t>规范下的算例与一个国外橄榄油碳足迹评估的典型案例。</w:t>
      </w:r>
    </w:p>
    <w:p w14:paraId="4E977B3F" w14:textId="77777777" w:rsidR="004B4F1C" w:rsidRPr="009A489E" w:rsidRDefault="00374908" w:rsidP="002925C1">
      <w:pPr>
        <w:pStyle w:val="1"/>
        <w:spacing w:before="0" w:beforeAutospacing="0" w:after="0" w:afterAutospacing="0" w:line="380" w:lineRule="exact"/>
        <w:rPr>
          <w:rFonts w:ascii="黑体" w:eastAsia="黑体" w:hAnsi="黑体" w:cs="Arial"/>
          <w:szCs w:val="21"/>
          <w:shd w:val="clear" w:color="auto" w:fill="FFFFFF"/>
        </w:rPr>
      </w:pPr>
      <w:bookmarkStart w:id="56" w:name="_Toc97709245"/>
      <w:bookmarkStart w:id="57" w:name="_Toc97638657"/>
      <w:bookmarkStart w:id="58" w:name="_Toc41998710"/>
      <w:bookmarkStart w:id="59" w:name="_Toc100560690"/>
      <w:r>
        <w:rPr>
          <w:rFonts w:ascii="黑体" w:eastAsia="黑体" w:hAnsi="黑体" w:cs="Arial"/>
          <w:b w:val="0"/>
          <w:sz w:val="21"/>
          <w:szCs w:val="21"/>
          <w:shd w:val="clear" w:color="auto" w:fill="FFFFFF"/>
        </w:rPr>
        <w:t>1</w:t>
      </w:r>
      <w:r w:rsidR="008A5C75">
        <w:rPr>
          <w:rFonts w:ascii="黑体" w:eastAsia="黑体" w:hAnsi="黑体" w:cs="Arial"/>
          <w:b w:val="0"/>
          <w:sz w:val="21"/>
          <w:szCs w:val="21"/>
          <w:shd w:val="clear" w:color="auto" w:fill="FFFFFF"/>
        </w:rPr>
        <w:t xml:space="preserve"> </w:t>
      </w:r>
      <w:r w:rsidR="008A5C75" w:rsidRPr="008A5C75">
        <w:rPr>
          <w:rFonts w:ascii="黑体" w:eastAsia="黑体" w:hAnsi="黑体" w:cs="Arial" w:hint="eastAsia"/>
          <w:b w:val="0"/>
          <w:sz w:val="21"/>
          <w:szCs w:val="21"/>
          <w:shd w:val="clear" w:color="auto" w:fill="FFFFFF"/>
        </w:rPr>
        <w:t>算例一：香榧油碳足迹评估</w:t>
      </w:r>
      <w:bookmarkEnd w:id="56"/>
      <w:bookmarkEnd w:id="57"/>
      <w:bookmarkEnd w:id="58"/>
      <w:bookmarkEnd w:id="59"/>
    </w:p>
    <w:p w14:paraId="245FF3CF" w14:textId="77777777" w:rsidR="004B4F1C" w:rsidRPr="009A489E" w:rsidRDefault="004B4F1C" w:rsidP="0007250F">
      <w:pPr>
        <w:pStyle w:val="1"/>
        <w:spacing w:before="0" w:beforeAutospacing="0" w:after="0" w:afterAutospacing="0" w:line="380" w:lineRule="exact"/>
        <w:rPr>
          <w:rFonts w:ascii="黑体" w:eastAsia="黑体" w:hAnsi="黑体" w:cs="Arial"/>
          <w:sz w:val="21"/>
          <w:szCs w:val="21"/>
          <w:shd w:val="clear" w:color="auto" w:fill="FFFFFF"/>
        </w:rPr>
      </w:pPr>
      <w:bookmarkStart w:id="60" w:name="_Toc2935717"/>
      <w:bookmarkStart w:id="61" w:name="_Toc41998711"/>
      <w:bookmarkStart w:id="62" w:name="_Toc2935818"/>
      <w:bookmarkStart w:id="63" w:name="_Toc2936063"/>
      <w:r w:rsidRPr="009A489E">
        <w:rPr>
          <w:rFonts w:ascii="黑体" w:eastAsia="黑体" w:hAnsi="黑体" w:cs="Arial"/>
          <w:b w:val="0"/>
          <w:sz w:val="21"/>
          <w:szCs w:val="21"/>
          <w:shd w:val="clear" w:color="auto" w:fill="FFFFFF"/>
        </w:rPr>
        <w:t>1.1</w:t>
      </w:r>
      <w:r>
        <w:rPr>
          <w:rFonts w:ascii="黑体" w:eastAsia="黑体" w:hAnsi="黑体" w:cs="Arial"/>
          <w:b w:val="0"/>
          <w:sz w:val="21"/>
          <w:szCs w:val="21"/>
          <w:shd w:val="clear" w:color="auto" w:fill="FFFFFF"/>
        </w:rPr>
        <w:t xml:space="preserve"> </w:t>
      </w:r>
      <w:r w:rsidR="004C17CB">
        <w:rPr>
          <w:rFonts w:ascii="黑体" w:eastAsia="黑体" w:hAnsi="黑体" w:cs="Arial" w:hint="eastAsia"/>
          <w:b w:val="0"/>
          <w:sz w:val="21"/>
          <w:szCs w:val="21"/>
          <w:shd w:val="clear" w:color="auto" w:fill="FFFFFF"/>
        </w:rPr>
        <w:t>生命周期</w:t>
      </w:r>
      <w:r>
        <w:rPr>
          <w:rFonts w:ascii="黑体" w:eastAsia="黑体" w:hAnsi="黑体" w:cs="Arial" w:hint="eastAsia"/>
          <w:b w:val="0"/>
          <w:sz w:val="21"/>
          <w:szCs w:val="21"/>
          <w:shd w:val="clear" w:color="auto" w:fill="FFFFFF"/>
        </w:rPr>
        <w:t>流程图</w:t>
      </w:r>
    </w:p>
    <w:p w14:paraId="10191076" w14:textId="77777777" w:rsidR="001C1073" w:rsidRDefault="004B4F1C" w:rsidP="008A5C75">
      <w:pPr>
        <w:pStyle w:val="a3"/>
        <w:snapToGrid w:val="0"/>
        <w:spacing w:before="0" w:beforeAutospacing="0" w:after="0" w:afterAutospacing="0" w:line="380" w:lineRule="exact"/>
        <w:ind w:firstLineChars="200" w:firstLine="420"/>
        <w:rPr>
          <w:rFonts w:ascii="宋体" w:eastAsia="宋体" w:hAnsi="宋体" w:cs="Times New Roman"/>
          <w:sz w:val="21"/>
          <w:szCs w:val="21"/>
        </w:rPr>
      </w:pPr>
      <w:r w:rsidRPr="009A489E">
        <w:rPr>
          <w:rFonts w:ascii="黑体" w:eastAsia="黑体" w:hAnsi="黑体" w:cs="Arial"/>
          <w:noProof/>
          <w:sz w:val="21"/>
          <w:szCs w:val="21"/>
          <w:shd w:val="clear" w:color="auto" w:fill="FFFFFF"/>
        </w:rPr>
        <w:drawing>
          <wp:anchor distT="0" distB="0" distL="114300" distR="114300" simplePos="0" relativeHeight="251658240" behindDoc="0" locked="0" layoutInCell="1" allowOverlap="1" wp14:anchorId="4EB32DC2" wp14:editId="4AEF5CC5">
            <wp:simplePos x="0" y="0"/>
            <wp:positionH relativeFrom="margin">
              <wp:posOffset>593937</wp:posOffset>
            </wp:positionH>
            <wp:positionV relativeFrom="paragraph">
              <wp:posOffset>642408</wp:posOffset>
            </wp:positionV>
            <wp:extent cx="4768850" cy="3014345"/>
            <wp:effectExtent l="0" t="0" r="0" b="0"/>
            <wp:wrapTopAndBottom/>
            <wp:docPr id="5" name="图片 5" descr="E:\202201香榧油碳足迹\流程图\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202201香榧油碳足迹\流程图\流程图.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768850" cy="3014345"/>
                    </a:xfrm>
                    <a:prstGeom prst="rect">
                      <a:avLst/>
                    </a:prstGeom>
                    <a:noFill/>
                    <a:ln>
                      <a:noFill/>
                    </a:ln>
                  </pic:spPr>
                </pic:pic>
              </a:graphicData>
            </a:graphic>
          </wp:anchor>
        </w:drawing>
      </w:r>
      <w:r w:rsidR="005039FA">
        <w:rPr>
          <w:rFonts w:ascii="宋体" w:eastAsia="宋体" w:hAnsi="宋体" w:cs="Times New Roman" w:hint="eastAsia"/>
          <w:sz w:val="21"/>
          <w:szCs w:val="21"/>
        </w:rPr>
        <w:t>对某企业香榧油</w:t>
      </w:r>
      <w:r>
        <w:rPr>
          <w:rFonts w:ascii="宋体" w:eastAsia="宋体" w:hAnsi="宋体" w:cs="Times New Roman" w:hint="eastAsia"/>
          <w:sz w:val="21"/>
          <w:szCs w:val="21"/>
        </w:rPr>
        <w:t>产品</w:t>
      </w:r>
      <w:r w:rsidR="005039FA">
        <w:rPr>
          <w:rFonts w:ascii="宋体" w:eastAsia="宋体" w:hAnsi="宋体" w:cs="Times New Roman" w:hint="eastAsia"/>
          <w:sz w:val="21"/>
          <w:szCs w:val="21"/>
        </w:rPr>
        <w:t>进行碳足迹评估，评估流程符合产品碳足迹量化评价基本程序。功能单位为kg（香榧油）。碳足迹评估系统边界为从“从摇篮到坟墓”，其</w:t>
      </w:r>
      <w:r w:rsidR="004C17CB">
        <w:rPr>
          <w:rFonts w:ascii="宋体" w:eastAsia="宋体" w:hAnsi="宋体" w:cs="Times New Roman" w:hint="eastAsia"/>
          <w:sz w:val="21"/>
          <w:szCs w:val="21"/>
        </w:rPr>
        <w:t>生命周期</w:t>
      </w:r>
      <w:r w:rsidR="005039FA">
        <w:rPr>
          <w:rFonts w:ascii="宋体" w:eastAsia="宋体" w:hAnsi="宋体" w:cs="Times New Roman" w:hint="eastAsia"/>
          <w:sz w:val="21"/>
          <w:szCs w:val="21"/>
        </w:rPr>
        <w:t>流程图如图4.1所示。</w:t>
      </w:r>
    </w:p>
    <w:p w14:paraId="2C99448D" w14:textId="77777777" w:rsidR="001C1073" w:rsidRDefault="005039FA" w:rsidP="008A5C75">
      <w:pPr>
        <w:spacing w:line="380" w:lineRule="exact"/>
        <w:jc w:val="center"/>
        <w:rPr>
          <w:rFonts w:ascii="黑体" w:eastAsia="黑体" w:hAnsi="黑体" w:cs="黑体"/>
        </w:rPr>
      </w:pPr>
      <w:r>
        <w:rPr>
          <w:rFonts w:ascii="黑体" w:eastAsia="黑体" w:hAnsi="黑体" w:cs="黑体" w:hint="eastAsia"/>
        </w:rPr>
        <w:t>图4.1 香榧油</w:t>
      </w:r>
      <w:r w:rsidR="004C17CB">
        <w:rPr>
          <w:rFonts w:ascii="黑体" w:eastAsia="黑体" w:hAnsi="黑体" w:cs="黑体" w:hint="eastAsia"/>
        </w:rPr>
        <w:t>生命周期</w:t>
      </w:r>
      <w:r>
        <w:rPr>
          <w:rFonts w:ascii="黑体" w:eastAsia="黑体" w:hAnsi="黑体" w:cs="黑体" w:hint="eastAsia"/>
        </w:rPr>
        <w:t>流程图</w:t>
      </w:r>
    </w:p>
    <w:p w14:paraId="0EE7AC38" w14:textId="77777777" w:rsidR="004B4F1C" w:rsidRPr="00AD26B1" w:rsidRDefault="004B4F1C" w:rsidP="008A5C75">
      <w:pPr>
        <w:pStyle w:val="1"/>
        <w:spacing w:before="0" w:beforeAutospacing="0" w:after="0" w:afterAutospacing="0" w:line="380" w:lineRule="exact"/>
        <w:rPr>
          <w:rFonts w:ascii="黑体" w:eastAsia="黑体" w:hAnsi="黑体" w:cs="Arial"/>
          <w:b w:val="0"/>
          <w:sz w:val="21"/>
          <w:szCs w:val="21"/>
          <w:shd w:val="clear" w:color="auto" w:fill="FFFFFF"/>
        </w:rPr>
      </w:pPr>
      <w:r w:rsidRPr="00AD26B1">
        <w:rPr>
          <w:rFonts w:ascii="黑体" w:eastAsia="黑体" w:hAnsi="黑体" w:cs="Arial"/>
          <w:b w:val="0"/>
          <w:sz w:val="21"/>
          <w:szCs w:val="21"/>
          <w:shd w:val="clear" w:color="auto" w:fill="FFFFFF"/>
        </w:rPr>
        <w:lastRenderedPageBreak/>
        <w:t>1.</w:t>
      </w:r>
      <w:r>
        <w:rPr>
          <w:rFonts w:ascii="黑体" w:eastAsia="黑体" w:hAnsi="黑体" w:cs="Arial"/>
          <w:b w:val="0"/>
          <w:sz w:val="21"/>
          <w:szCs w:val="21"/>
          <w:shd w:val="clear" w:color="auto" w:fill="FFFFFF"/>
        </w:rPr>
        <w:t xml:space="preserve">2 </w:t>
      </w:r>
      <w:r>
        <w:rPr>
          <w:rFonts w:ascii="黑体" w:eastAsia="黑体" w:hAnsi="黑体" w:cs="Arial" w:hint="eastAsia"/>
          <w:b w:val="0"/>
          <w:sz w:val="21"/>
          <w:szCs w:val="21"/>
          <w:shd w:val="clear" w:color="auto" w:fill="FFFFFF"/>
        </w:rPr>
        <w:t>上游流程</w:t>
      </w:r>
    </w:p>
    <w:p w14:paraId="68C68F66" w14:textId="77777777" w:rsidR="001C1073" w:rsidRDefault="005039FA">
      <w:pPr>
        <w:spacing w:line="380" w:lineRule="exact"/>
        <w:ind w:firstLineChars="200" w:firstLine="420"/>
        <w:jc w:val="left"/>
      </w:pPr>
      <w:r>
        <w:rPr>
          <w:rFonts w:hint="eastAsia"/>
        </w:rPr>
        <w:t>上游流程包括：</w:t>
      </w:r>
    </w:p>
    <w:p w14:paraId="24781898" w14:textId="7AB095EE" w:rsidR="001C1073" w:rsidRDefault="00994DE6">
      <w:pPr>
        <w:spacing w:line="380" w:lineRule="exact"/>
        <w:ind w:firstLineChars="200" w:firstLine="420"/>
        <w:jc w:val="left"/>
      </w:pPr>
      <w:r>
        <w:rPr>
          <w:rFonts w:hint="eastAsia"/>
        </w:rPr>
        <w:t>a</w:t>
      </w:r>
      <w:r w:rsidR="005039FA">
        <w:t>）</w:t>
      </w:r>
      <w:r w:rsidR="005039FA">
        <w:rPr>
          <w:rFonts w:hint="eastAsia"/>
        </w:rPr>
        <w:t>香榧油原料获取</w:t>
      </w:r>
      <w:r>
        <w:rPr>
          <w:rFonts w:hint="eastAsia"/>
        </w:rPr>
        <w:t>。</w:t>
      </w:r>
    </w:p>
    <w:p w14:paraId="2E543F35" w14:textId="6374CC90" w:rsidR="001C1073" w:rsidRDefault="00994DE6">
      <w:pPr>
        <w:spacing w:line="380" w:lineRule="exact"/>
        <w:ind w:firstLineChars="200" w:firstLine="420"/>
        <w:jc w:val="left"/>
      </w:pPr>
      <w:r>
        <w:t>1</w:t>
      </w:r>
      <w:r w:rsidR="004B4F1C">
        <w:rPr>
          <w:rFonts w:hint="eastAsia"/>
        </w:rPr>
        <w:t>）</w:t>
      </w:r>
      <w:r w:rsidR="005039FA">
        <w:rPr>
          <w:rFonts w:hint="eastAsia"/>
        </w:rPr>
        <w:t>土地利用变化。种植土地一直为香榧林，无变化。</w:t>
      </w:r>
    </w:p>
    <w:p w14:paraId="7109B2BC" w14:textId="12D888F5" w:rsidR="001C1073" w:rsidRDefault="00994DE6">
      <w:pPr>
        <w:spacing w:line="380" w:lineRule="exact"/>
        <w:ind w:firstLineChars="200" w:firstLine="420"/>
        <w:jc w:val="left"/>
      </w:pPr>
      <w:r>
        <w:t>2</w:t>
      </w:r>
      <w:r w:rsidR="004B4F1C">
        <w:rPr>
          <w:rFonts w:hint="eastAsia"/>
        </w:rPr>
        <w:t>）</w:t>
      </w:r>
      <w:r w:rsidR="005039FA">
        <w:rPr>
          <w:rFonts w:hint="eastAsia"/>
        </w:rPr>
        <w:t>栽培阶段的碳排放。香榧树使用嫁接苗生产。栽培阶段中，使用有机肥、复合肥、植保产品。栽培阶段历时</w:t>
      </w:r>
      <w:r w:rsidR="005039FA">
        <w:rPr>
          <w:rFonts w:hint="eastAsia"/>
        </w:rPr>
        <w:t>6</w:t>
      </w:r>
      <w:r w:rsidR="005039FA">
        <w:rPr>
          <w:rFonts w:hint="eastAsia"/>
        </w:rPr>
        <w:t>年，成熟产果阶段可持续</w:t>
      </w:r>
      <w:r w:rsidR="005039FA">
        <w:rPr>
          <w:rFonts w:hint="eastAsia"/>
        </w:rPr>
        <w:t>70</w:t>
      </w:r>
      <w:r w:rsidR="005039FA">
        <w:rPr>
          <w:rFonts w:hint="eastAsia"/>
        </w:rPr>
        <w:t>年。</w:t>
      </w:r>
    </w:p>
    <w:p w14:paraId="1C1AD860" w14:textId="180ACDE9" w:rsidR="001C1073" w:rsidRDefault="00994DE6">
      <w:pPr>
        <w:spacing w:line="380" w:lineRule="exact"/>
        <w:ind w:firstLineChars="200" w:firstLine="420"/>
        <w:jc w:val="left"/>
      </w:pPr>
      <w:r>
        <w:t>3</w:t>
      </w:r>
      <w:r w:rsidR="00AE2EC7">
        <w:rPr>
          <w:rFonts w:hint="eastAsia"/>
        </w:rPr>
        <w:t>）</w:t>
      </w:r>
      <w:r w:rsidR="005039FA">
        <w:rPr>
          <w:rFonts w:hint="eastAsia"/>
        </w:rPr>
        <w:t>肥料、植保产品的使用。使用有机肥、复合肥、植保产品。化肥计算生产、使用过程中的排放，包括使用过程中产生的</w:t>
      </w:r>
      <w:r w:rsidR="005039FA">
        <w:rPr>
          <w:rFonts w:hint="eastAsia"/>
        </w:rPr>
        <w:t>N</w:t>
      </w:r>
      <w:r w:rsidR="005039FA" w:rsidRPr="009A489E">
        <w:rPr>
          <w:vertAlign w:val="subscript"/>
        </w:rPr>
        <w:t>2</w:t>
      </w:r>
      <w:r w:rsidR="005039FA">
        <w:rPr>
          <w:rFonts w:hint="eastAsia"/>
        </w:rPr>
        <w:t>O</w:t>
      </w:r>
      <w:r w:rsidR="005039FA">
        <w:rPr>
          <w:rFonts w:hint="eastAsia"/>
        </w:rPr>
        <w:t>排放。有机肥通过香榧树修剪枝叶和香榧假种皮经堆沤产生。植保产品计算其生产过程的排放。</w:t>
      </w:r>
    </w:p>
    <w:p w14:paraId="4CEB9AF0" w14:textId="718A323E" w:rsidR="001C1073" w:rsidRDefault="00994DE6">
      <w:pPr>
        <w:spacing w:line="380" w:lineRule="exact"/>
        <w:ind w:firstLineChars="200" w:firstLine="420"/>
        <w:jc w:val="left"/>
      </w:pPr>
      <w:r>
        <w:t>4</w:t>
      </w:r>
      <w:r w:rsidR="00AE2EC7">
        <w:rPr>
          <w:rFonts w:hint="eastAsia"/>
        </w:rPr>
        <w:t>）</w:t>
      </w:r>
      <w:r w:rsidR="005039FA">
        <w:rPr>
          <w:rFonts w:hint="eastAsia"/>
        </w:rPr>
        <w:t>电力消耗。香榧采摘后，需经香榧清洗机、香榧假种剥假种皮机、香榧去壳机、香榧分选机、香榧烘干机初步加工，需消耗电能。</w:t>
      </w:r>
    </w:p>
    <w:p w14:paraId="05A3CEA5" w14:textId="5DB6631E" w:rsidR="001C1073" w:rsidRDefault="00994DE6">
      <w:pPr>
        <w:spacing w:line="380" w:lineRule="exact"/>
        <w:ind w:firstLineChars="200" w:firstLine="420"/>
        <w:jc w:val="left"/>
      </w:pPr>
      <w:r>
        <w:t>5</w:t>
      </w:r>
      <w:r w:rsidR="00AE2EC7">
        <w:rPr>
          <w:rFonts w:hint="eastAsia"/>
        </w:rPr>
        <w:t>）</w:t>
      </w:r>
      <w:r w:rsidR="005039FA">
        <w:rPr>
          <w:rFonts w:hint="eastAsia"/>
        </w:rPr>
        <w:t>灌溉。夏季高温季节连续</w:t>
      </w:r>
      <w:r w:rsidR="005039FA">
        <w:rPr>
          <w:rFonts w:hint="eastAsia"/>
        </w:rPr>
        <w:t>10</w:t>
      </w:r>
      <w:r w:rsidR="005039FA">
        <w:rPr>
          <w:rFonts w:hint="eastAsia"/>
        </w:rPr>
        <w:t>天以上无降雨需灌溉。灌溉情况受天气影响较大，当地近</w:t>
      </w:r>
      <w:r w:rsidR="005039FA">
        <w:rPr>
          <w:rFonts w:hint="eastAsia"/>
        </w:rPr>
        <w:t>5</w:t>
      </w:r>
      <w:r w:rsidR="005039FA">
        <w:rPr>
          <w:rFonts w:hint="eastAsia"/>
        </w:rPr>
        <w:t>年未进行灌溉。</w:t>
      </w:r>
    </w:p>
    <w:p w14:paraId="783B412B" w14:textId="1C66509C" w:rsidR="001C1073" w:rsidRDefault="00994DE6">
      <w:pPr>
        <w:spacing w:line="380" w:lineRule="exact"/>
        <w:ind w:firstLineChars="200" w:firstLine="420"/>
        <w:jc w:val="left"/>
      </w:pPr>
      <w:r>
        <w:rPr>
          <w:rFonts w:hint="eastAsia"/>
        </w:rPr>
        <w:t>b</w:t>
      </w:r>
      <w:r w:rsidR="005039FA">
        <w:rPr>
          <w:rFonts w:hint="eastAsia"/>
        </w:rPr>
        <w:t>）电力、能源生产。</w:t>
      </w:r>
    </w:p>
    <w:p w14:paraId="143FF56D" w14:textId="77777777" w:rsidR="001C1073" w:rsidRDefault="005039FA">
      <w:pPr>
        <w:spacing w:line="380" w:lineRule="exact"/>
        <w:ind w:firstLineChars="200" w:firstLine="420"/>
        <w:jc w:val="left"/>
      </w:pPr>
      <w:r>
        <w:rPr>
          <w:rFonts w:hint="eastAsia"/>
        </w:rPr>
        <w:t>香榧油生产仅使用电力，不涉及其它能源。</w:t>
      </w:r>
    </w:p>
    <w:p w14:paraId="74B7122A" w14:textId="59DABCD6" w:rsidR="001C1073" w:rsidRDefault="00994DE6">
      <w:pPr>
        <w:spacing w:line="380" w:lineRule="exact"/>
        <w:ind w:firstLineChars="200" w:firstLine="420"/>
        <w:jc w:val="left"/>
      </w:pPr>
      <w:r>
        <w:rPr>
          <w:rFonts w:hint="eastAsia"/>
        </w:rPr>
        <w:t>c</w:t>
      </w:r>
      <w:r w:rsidR="005039FA">
        <w:rPr>
          <w:rFonts w:hint="eastAsia"/>
        </w:rPr>
        <w:t>）包装材料生产。</w:t>
      </w:r>
    </w:p>
    <w:p w14:paraId="2E40BE9C" w14:textId="77777777" w:rsidR="001C1073" w:rsidRDefault="005039FA">
      <w:pPr>
        <w:spacing w:line="380" w:lineRule="exact"/>
        <w:ind w:firstLineChars="200" w:firstLine="420"/>
        <w:jc w:val="left"/>
      </w:pPr>
      <w:r>
        <w:rPr>
          <w:rFonts w:hint="eastAsia"/>
        </w:rPr>
        <w:t>香榧油包装材料为玻璃和纸。</w:t>
      </w:r>
    </w:p>
    <w:p w14:paraId="04DD2923" w14:textId="77777777" w:rsidR="00AE2EC7" w:rsidRPr="00AD26B1" w:rsidRDefault="00AE2EC7">
      <w:pPr>
        <w:pStyle w:val="1"/>
        <w:spacing w:before="0" w:beforeAutospacing="0" w:after="0" w:afterAutospacing="0" w:line="380" w:lineRule="exact"/>
        <w:rPr>
          <w:rFonts w:ascii="黑体" w:eastAsia="黑体" w:hAnsi="黑体" w:cs="Arial"/>
          <w:b w:val="0"/>
          <w:sz w:val="21"/>
          <w:szCs w:val="21"/>
          <w:shd w:val="clear" w:color="auto" w:fill="FFFFFF"/>
        </w:rPr>
      </w:pPr>
      <w:r w:rsidRPr="00AD26B1">
        <w:rPr>
          <w:rFonts w:ascii="黑体" w:eastAsia="黑体" w:hAnsi="黑体" w:cs="Arial"/>
          <w:b w:val="0"/>
          <w:sz w:val="21"/>
          <w:szCs w:val="21"/>
          <w:shd w:val="clear" w:color="auto" w:fill="FFFFFF"/>
        </w:rPr>
        <w:t>1.</w:t>
      </w:r>
      <w:r>
        <w:rPr>
          <w:rFonts w:ascii="黑体" w:eastAsia="黑体" w:hAnsi="黑体" w:cs="Arial"/>
          <w:b w:val="0"/>
          <w:sz w:val="21"/>
          <w:szCs w:val="21"/>
          <w:shd w:val="clear" w:color="auto" w:fill="FFFFFF"/>
        </w:rPr>
        <w:t>3</w:t>
      </w:r>
      <w:r w:rsidR="00374908">
        <w:rPr>
          <w:rFonts w:ascii="黑体" w:eastAsia="黑体" w:hAnsi="黑体" w:cs="Arial"/>
          <w:b w:val="0"/>
          <w:sz w:val="21"/>
          <w:szCs w:val="21"/>
          <w:shd w:val="clear" w:color="auto" w:fill="FFFFFF"/>
        </w:rPr>
        <w:t xml:space="preserve"> </w:t>
      </w:r>
      <w:r>
        <w:rPr>
          <w:rFonts w:ascii="黑体" w:eastAsia="黑体" w:hAnsi="黑体" w:cs="Arial" w:hint="eastAsia"/>
          <w:b w:val="0"/>
          <w:sz w:val="21"/>
          <w:szCs w:val="21"/>
          <w:shd w:val="clear" w:color="auto" w:fill="FFFFFF"/>
        </w:rPr>
        <w:t>核心流程</w:t>
      </w:r>
    </w:p>
    <w:p w14:paraId="337FDB9D" w14:textId="77777777" w:rsidR="001C1073" w:rsidRDefault="005039FA">
      <w:pPr>
        <w:spacing w:line="380" w:lineRule="exact"/>
        <w:ind w:firstLineChars="200" w:firstLine="420"/>
        <w:jc w:val="left"/>
      </w:pPr>
      <w:r>
        <w:rPr>
          <w:rFonts w:hint="eastAsia"/>
        </w:rPr>
        <w:t>核心流程包括：</w:t>
      </w:r>
    </w:p>
    <w:p w14:paraId="4B18DCD8" w14:textId="72112A1C" w:rsidR="001C1073" w:rsidRDefault="00994DE6">
      <w:pPr>
        <w:spacing w:line="380" w:lineRule="exact"/>
        <w:ind w:firstLineChars="200" w:firstLine="420"/>
        <w:jc w:val="left"/>
      </w:pPr>
      <w:r>
        <w:rPr>
          <w:rFonts w:hint="eastAsia"/>
        </w:rPr>
        <w:t>a</w:t>
      </w:r>
      <w:r w:rsidR="005039FA">
        <w:rPr>
          <w:rFonts w:hint="eastAsia"/>
        </w:rPr>
        <w:t>）香榧油生产阶段</w:t>
      </w:r>
      <w:r>
        <w:rPr>
          <w:rFonts w:hint="eastAsia"/>
        </w:rPr>
        <w:t>。</w:t>
      </w:r>
    </w:p>
    <w:p w14:paraId="13DD16E6" w14:textId="178969BD" w:rsidR="001C1073" w:rsidRDefault="00994DE6">
      <w:pPr>
        <w:spacing w:line="380" w:lineRule="exact"/>
        <w:ind w:firstLineChars="200" w:firstLine="420"/>
        <w:jc w:val="left"/>
      </w:pPr>
      <w:r>
        <w:t>1</w:t>
      </w:r>
      <w:r w:rsidR="00AE2EC7">
        <w:rPr>
          <w:rFonts w:hint="eastAsia"/>
        </w:rPr>
        <w:t>）</w:t>
      </w:r>
      <w:r w:rsidR="005039FA">
        <w:rPr>
          <w:rFonts w:hint="eastAsia"/>
        </w:rPr>
        <w:t>香榧运输至生产设施。</w:t>
      </w:r>
    </w:p>
    <w:p w14:paraId="23C43386" w14:textId="0DAA2AFD" w:rsidR="001C1073" w:rsidRDefault="00994DE6">
      <w:pPr>
        <w:spacing w:line="380" w:lineRule="exact"/>
        <w:ind w:firstLineChars="200" w:firstLine="420"/>
        <w:jc w:val="left"/>
      </w:pPr>
      <w:r>
        <w:t>2</w:t>
      </w:r>
      <w:r w:rsidR="00AE2EC7">
        <w:rPr>
          <w:rFonts w:hint="eastAsia"/>
        </w:rPr>
        <w:t>）</w:t>
      </w:r>
      <w:r w:rsidR="005039FA">
        <w:rPr>
          <w:rFonts w:hint="eastAsia"/>
        </w:rPr>
        <w:t>香榧油物理压榨。</w:t>
      </w:r>
    </w:p>
    <w:p w14:paraId="38F95779" w14:textId="543FEFA5" w:rsidR="001C1073" w:rsidRDefault="00994DE6">
      <w:pPr>
        <w:spacing w:line="380" w:lineRule="exact"/>
        <w:ind w:firstLineChars="200" w:firstLine="420"/>
        <w:jc w:val="left"/>
      </w:pPr>
      <w:r>
        <w:t>3</w:t>
      </w:r>
      <w:r w:rsidR="00AE2EC7">
        <w:rPr>
          <w:rFonts w:hint="eastAsia"/>
        </w:rPr>
        <w:t>）</w:t>
      </w:r>
      <w:r w:rsidR="005039FA">
        <w:rPr>
          <w:rFonts w:hint="eastAsia"/>
        </w:rPr>
        <w:t>香榧油储存。</w:t>
      </w:r>
    </w:p>
    <w:p w14:paraId="509D94D9" w14:textId="33D96E93" w:rsidR="001C1073" w:rsidRDefault="00994DE6">
      <w:pPr>
        <w:spacing w:line="380" w:lineRule="exact"/>
        <w:ind w:firstLineChars="200" w:firstLine="420"/>
        <w:jc w:val="left"/>
      </w:pPr>
      <w:r>
        <w:t>4</w:t>
      </w:r>
      <w:r w:rsidR="00AE2EC7">
        <w:rPr>
          <w:rFonts w:hint="eastAsia"/>
        </w:rPr>
        <w:t>）</w:t>
      </w:r>
      <w:r w:rsidR="005039FA">
        <w:rPr>
          <w:rFonts w:hint="eastAsia"/>
        </w:rPr>
        <w:t>废水处理，作为农产品加工污水进行处理。</w:t>
      </w:r>
    </w:p>
    <w:p w14:paraId="48642525" w14:textId="3773CAE1" w:rsidR="001C1073" w:rsidRDefault="00994DE6">
      <w:pPr>
        <w:spacing w:line="380" w:lineRule="exact"/>
        <w:ind w:firstLineChars="200" w:firstLine="420"/>
        <w:jc w:val="left"/>
      </w:pPr>
      <w:r>
        <w:t>5</w:t>
      </w:r>
      <w:r w:rsidR="00AE2EC7">
        <w:rPr>
          <w:rFonts w:hint="eastAsia"/>
        </w:rPr>
        <w:t>）</w:t>
      </w:r>
      <w:r w:rsidR="005039FA">
        <w:rPr>
          <w:rFonts w:hint="eastAsia"/>
        </w:rPr>
        <w:t>废物处理，废弃物作为副产品进行深度加工，不产生额外固体废物。</w:t>
      </w:r>
    </w:p>
    <w:p w14:paraId="44F1CDE3" w14:textId="1F911299" w:rsidR="001C1073" w:rsidRDefault="00994DE6">
      <w:pPr>
        <w:spacing w:line="380" w:lineRule="exact"/>
        <w:ind w:firstLineChars="200" w:firstLine="420"/>
        <w:jc w:val="left"/>
      </w:pPr>
      <w:r>
        <w:rPr>
          <w:rFonts w:hint="eastAsia"/>
        </w:rPr>
        <w:t>b</w:t>
      </w:r>
      <w:r w:rsidR="005039FA">
        <w:rPr>
          <w:rFonts w:hint="eastAsia"/>
        </w:rPr>
        <w:t>）香榧油包装阶段</w:t>
      </w:r>
      <w:r>
        <w:rPr>
          <w:rFonts w:hint="eastAsia"/>
        </w:rPr>
        <w:t>。</w:t>
      </w:r>
    </w:p>
    <w:p w14:paraId="0B746851" w14:textId="1B832E5B" w:rsidR="001C1073" w:rsidRDefault="00994DE6">
      <w:pPr>
        <w:spacing w:line="380" w:lineRule="exact"/>
        <w:ind w:firstLineChars="200" w:firstLine="420"/>
        <w:jc w:val="left"/>
      </w:pPr>
      <w:r>
        <w:t>1</w:t>
      </w:r>
      <w:r w:rsidR="00AE2EC7">
        <w:rPr>
          <w:rFonts w:hint="eastAsia"/>
        </w:rPr>
        <w:t>）</w:t>
      </w:r>
      <w:r w:rsidR="005039FA">
        <w:rPr>
          <w:rFonts w:hint="eastAsia"/>
        </w:rPr>
        <w:t>包装材料运输至工厂。</w:t>
      </w:r>
    </w:p>
    <w:p w14:paraId="0BD29FA8" w14:textId="12962A6F" w:rsidR="001C1073" w:rsidRDefault="00994DE6">
      <w:pPr>
        <w:spacing w:line="380" w:lineRule="exact"/>
        <w:ind w:firstLineChars="200" w:firstLine="420"/>
        <w:jc w:val="left"/>
      </w:pPr>
      <w:r>
        <w:t>2</w:t>
      </w:r>
      <w:r w:rsidR="00AE2EC7">
        <w:rPr>
          <w:rFonts w:hint="eastAsia"/>
        </w:rPr>
        <w:t>）</w:t>
      </w:r>
      <w:r w:rsidR="005039FA">
        <w:rPr>
          <w:rFonts w:hint="eastAsia"/>
        </w:rPr>
        <w:t>包装过程，香榧油通过机械罐装。</w:t>
      </w:r>
    </w:p>
    <w:p w14:paraId="2A43944C" w14:textId="25E6A1D8" w:rsidR="001C1073" w:rsidRDefault="00994DE6">
      <w:pPr>
        <w:spacing w:line="380" w:lineRule="exact"/>
        <w:ind w:firstLineChars="200" w:firstLine="420"/>
        <w:jc w:val="left"/>
      </w:pPr>
      <w:r>
        <w:t>3</w:t>
      </w:r>
      <w:r w:rsidR="00AE2EC7">
        <w:rPr>
          <w:rFonts w:hint="eastAsia"/>
        </w:rPr>
        <w:t>）</w:t>
      </w:r>
      <w:r w:rsidR="005039FA">
        <w:rPr>
          <w:rFonts w:hint="eastAsia"/>
        </w:rPr>
        <w:t>香榧油产品储存。包装完成的香榧油需要低温储存。</w:t>
      </w:r>
    </w:p>
    <w:p w14:paraId="7D9CFE26" w14:textId="1BDB93D1" w:rsidR="001C1073" w:rsidRDefault="00994DE6">
      <w:pPr>
        <w:spacing w:line="380" w:lineRule="exact"/>
        <w:ind w:firstLineChars="200" w:firstLine="420"/>
        <w:jc w:val="left"/>
      </w:pPr>
      <w:r>
        <w:t>4</w:t>
      </w:r>
      <w:r w:rsidR="00AE2EC7">
        <w:rPr>
          <w:rFonts w:hint="eastAsia"/>
        </w:rPr>
        <w:t>）</w:t>
      </w:r>
      <w:r w:rsidR="005039FA">
        <w:rPr>
          <w:rFonts w:hint="eastAsia"/>
        </w:rPr>
        <w:t>厂内运输。工厂内部运输距离较短，无额外耗能。</w:t>
      </w:r>
    </w:p>
    <w:p w14:paraId="0ACEF025" w14:textId="77777777" w:rsidR="00AE2EC7" w:rsidRPr="00AD26B1" w:rsidRDefault="00AE2EC7">
      <w:pPr>
        <w:pStyle w:val="1"/>
        <w:spacing w:before="0" w:beforeAutospacing="0" w:after="0" w:afterAutospacing="0" w:line="380" w:lineRule="exact"/>
        <w:rPr>
          <w:rFonts w:ascii="黑体" w:eastAsia="黑体" w:hAnsi="黑体" w:cs="Arial"/>
          <w:b w:val="0"/>
          <w:sz w:val="21"/>
          <w:szCs w:val="21"/>
          <w:shd w:val="clear" w:color="auto" w:fill="FFFFFF"/>
        </w:rPr>
      </w:pPr>
      <w:r w:rsidRPr="00AD26B1">
        <w:rPr>
          <w:rFonts w:ascii="黑体" w:eastAsia="黑体" w:hAnsi="黑体" w:cs="Arial"/>
          <w:b w:val="0"/>
          <w:sz w:val="21"/>
          <w:szCs w:val="21"/>
          <w:shd w:val="clear" w:color="auto" w:fill="FFFFFF"/>
        </w:rPr>
        <w:t>1.</w:t>
      </w:r>
      <w:r>
        <w:rPr>
          <w:rFonts w:ascii="黑体" w:eastAsia="黑体" w:hAnsi="黑体" w:cs="Arial"/>
          <w:b w:val="0"/>
          <w:sz w:val="21"/>
          <w:szCs w:val="21"/>
          <w:shd w:val="clear" w:color="auto" w:fill="FFFFFF"/>
        </w:rPr>
        <w:t>4</w:t>
      </w:r>
      <w:r w:rsidR="00374908">
        <w:rPr>
          <w:rFonts w:ascii="黑体" w:eastAsia="黑体" w:hAnsi="黑体" w:cs="Arial"/>
          <w:b w:val="0"/>
          <w:sz w:val="21"/>
          <w:szCs w:val="21"/>
          <w:shd w:val="clear" w:color="auto" w:fill="FFFFFF"/>
        </w:rPr>
        <w:t xml:space="preserve"> </w:t>
      </w:r>
      <w:r>
        <w:rPr>
          <w:rFonts w:ascii="黑体" w:eastAsia="黑体" w:hAnsi="黑体" w:cs="Arial" w:hint="eastAsia"/>
          <w:b w:val="0"/>
          <w:sz w:val="21"/>
          <w:szCs w:val="21"/>
          <w:shd w:val="clear" w:color="auto" w:fill="FFFFFF"/>
        </w:rPr>
        <w:t>下游流程</w:t>
      </w:r>
    </w:p>
    <w:p w14:paraId="3FDF6421" w14:textId="77777777" w:rsidR="001C1073" w:rsidRDefault="005039FA">
      <w:pPr>
        <w:spacing w:line="380" w:lineRule="exact"/>
        <w:ind w:firstLineChars="200" w:firstLine="420"/>
        <w:jc w:val="left"/>
      </w:pPr>
      <w:r>
        <w:rPr>
          <w:rFonts w:hint="eastAsia"/>
        </w:rPr>
        <w:t>下游流程包括：</w:t>
      </w:r>
    </w:p>
    <w:p w14:paraId="781111AA" w14:textId="2E2F55C7" w:rsidR="001C1073" w:rsidRDefault="00424ECB">
      <w:pPr>
        <w:spacing w:line="380" w:lineRule="exact"/>
        <w:ind w:firstLineChars="200" w:firstLine="420"/>
        <w:jc w:val="left"/>
      </w:pPr>
      <w:r>
        <w:rPr>
          <w:rFonts w:hint="eastAsia"/>
        </w:rPr>
        <w:t>a</w:t>
      </w:r>
      <w:r w:rsidR="005039FA">
        <w:rPr>
          <w:rFonts w:hint="eastAsia"/>
        </w:rPr>
        <w:t>）产品运输至客户、消费者（平台、零售商等）。</w:t>
      </w:r>
    </w:p>
    <w:p w14:paraId="41DF9221" w14:textId="6B2E0F40" w:rsidR="001C1073" w:rsidRDefault="00424ECB">
      <w:pPr>
        <w:spacing w:line="380" w:lineRule="exact"/>
        <w:ind w:firstLineChars="200" w:firstLine="420"/>
        <w:jc w:val="left"/>
      </w:pPr>
      <w:r>
        <w:rPr>
          <w:rFonts w:hint="eastAsia"/>
        </w:rPr>
        <w:t>b</w:t>
      </w:r>
      <w:r w:rsidR="005039FA">
        <w:rPr>
          <w:rFonts w:hint="eastAsia"/>
        </w:rPr>
        <w:t>）产品使用。</w:t>
      </w:r>
    </w:p>
    <w:p w14:paraId="38F5E111" w14:textId="77777777" w:rsidR="001C1073" w:rsidRDefault="005039FA">
      <w:pPr>
        <w:spacing w:line="380" w:lineRule="exact"/>
        <w:ind w:firstLineChars="200" w:firstLine="420"/>
        <w:jc w:val="left"/>
      </w:pPr>
      <w:r>
        <w:rPr>
          <w:rFonts w:hint="eastAsia"/>
        </w:rPr>
        <w:t>香榧油为食品，在碳足迹核算边界外。</w:t>
      </w:r>
    </w:p>
    <w:p w14:paraId="4BC8244A" w14:textId="246767FF" w:rsidR="001C1073" w:rsidRDefault="00424ECB">
      <w:pPr>
        <w:spacing w:line="380" w:lineRule="exact"/>
        <w:ind w:firstLineChars="200" w:firstLine="420"/>
        <w:jc w:val="left"/>
      </w:pPr>
      <w:r>
        <w:rPr>
          <w:rFonts w:hint="eastAsia"/>
        </w:rPr>
        <w:t>c</w:t>
      </w:r>
      <w:r w:rsidR="005039FA">
        <w:rPr>
          <w:rFonts w:hint="eastAsia"/>
        </w:rPr>
        <w:t>）产品与包装材料寿命终止。</w:t>
      </w:r>
    </w:p>
    <w:p w14:paraId="5824FFED" w14:textId="2E0D5D22" w:rsidR="001C1073" w:rsidRDefault="00424ECB">
      <w:pPr>
        <w:spacing w:line="380" w:lineRule="exact"/>
        <w:ind w:firstLineChars="200" w:firstLine="420"/>
        <w:jc w:val="left"/>
      </w:pPr>
      <w:r>
        <w:t>1</w:t>
      </w:r>
      <w:r w:rsidR="00AE2EC7">
        <w:rPr>
          <w:rFonts w:hint="eastAsia"/>
        </w:rPr>
        <w:t>）</w:t>
      </w:r>
      <w:r w:rsidR="005039FA">
        <w:rPr>
          <w:rFonts w:hint="eastAsia"/>
        </w:rPr>
        <w:t>产品寿命终止。认为香榧油被完全使用，不产生额外浪费。</w:t>
      </w:r>
    </w:p>
    <w:p w14:paraId="1E7B0728" w14:textId="51BA9D5E" w:rsidR="001C1073" w:rsidRDefault="00424ECB">
      <w:pPr>
        <w:spacing w:line="380" w:lineRule="exact"/>
        <w:ind w:firstLineChars="200" w:firstLine="420"/>
        <w:jc w:val="left"/>
      </w:pPr>
      <w:r>
        <w:lastRenderedPageBreak/>
        <w:t>2</w:t>
      </w:r>
      <w:r w:rsidR="00AE2EC7">
        <w:rPr>
          <w:rFonts w:hint="eastAsia"/>
        </w:rPr>
        <w:t>）</w:t>
      </w:r>
      <w:r w:rsidR="005039FA">
        <w:rPr>
          <w:rFonts w:hint="eastAsia"/>
        </w:rPr>
        <w:t>包装材料寿命终止</w:t>
      </w:r>
      <w:r w:rsidR="00AE2EC7">
        <w:rPr>
          <w:rFonts w:hint="eastAsia"/>
        </w:rPr>
        <w:t>。</w:t>
      </w:r>
      <w:r w:rsidR="005039FA">
        <w:rPr>
          <w:rFonts w:hint="eastAsia"/>
        </w:rPr>
        <w:t>包装材料玻璃、纸寿命终止后，被回收、填埋、焚烧。针对产品回收，其碳足迹边界指将产品运输至回收工厂，平均回收运输距离为</w:t>
      </w:r>
      <w:r w:rsidR="005039FA">
        <w:rPr>
          <w:rFonts w:hint="eastAsia"/>
        </w:rPr>
        <w:t>50 km</w:t>
      </w:r>
      <w:r w:rsidR="005039FA">
        <w:rPr>
          <w:rFonts w:hint="eastAsia"/>
        </w:rPr>
        <w:t>，采用轻型货车运输。对于填埋，考虑温室气体排放、甲烷回收与其它消耗。对于焚烧，考虑焚烧后粉煤灰处理的碳排放与能源替代产生的抵扣量。</w:t>
      </w:r>
    </w:p>
    <w:p w14:paraId="70CE5E1F" w14:textId="77777777" w:rsidR="00203484" w:rsidRDefault="00AE2EC7">
      <w:pPr>
        <w:pStyle w:val="1"/>
        <w:spacing w:before="0" w:beforeAutospacing="0" w:after="0" w:afterAutospacing="0" w:line="380" w:lineRule="exact"/>
        <w:rPr>
          <w:rFonts w:ascii="黑体" w:eastAsia="黑体" w:hAnsi="黑体" w:cs="Arial"/>
          <w:b w:val="0"/>
          <w:sz w:val="21"/>
          <w:szCs w:val="21"/>
          <w:shd w:val="clear" w:color="auto" w:fill="FFFFFF"/>
        </w:rPr>
      </w:pPr>
      <w:r w:rsidRPr="00AD26B1">
        <w:rPr>
          <w:rFonts w:ascii="黑体" w:eastAsia="黑体" w:hAnsi="黑体" w:cs="Arial"/>
          <w:b w:val="0"/>
          <w:sz w:val="21"/>
          <w:szCs w:val="21"/>
          <w:shd w:val="clear" w:color="auto" w:fill="FFFFFF"/>
        </w:rPr>
        <w:t>1.</w:t>
      </w:r>
      <w:r>
        <w:rPr>
          <w:rFonts w:ascii="黑体" w:eastAsia="黑体" w:hAnsi="黑体" w:cs="Arial"/>
          <w:b w:val="0"/>
          <w:sz w:val="21"/>
          <w:szCs w:val="21"/>
          <w:shd w:val="clear" w:color="auto" w:fill="FFFFFF"/>
        </w:rPr>
        <w:t xml:space="preserve">5 </w:t>
      </w:r>
      <w:r w:rsidR="008A5C75">
        <w:rPr>
          <w:rFonts w:ascii="黑体" w:eastAsia="黑体" w:hAnsi="黑体" w:cs="Arial" w:hint="eastAsia"/>
          <w:b w:val="0"/>
          <w:sz w:val="21"/>
          <w:szCs w:val="21"/>
          <w:shd w:val="clear" w:color="auto" w:fill="FFFFFF"/>
        </w:rPr>
        <w:t>数据收集</w:t>
      </w:r>
    </w:p>
    <w:p w14:paraId="37FDCE3D" w14:textId="7F340BF1" w:rsidR="00203484" w:rsidRPr="002925C1" w:rsidRDefault="00203484" w:rsidP="002925C1">
      <w:pPr>
        <w:spacing w:line="380" w:lineRule="exact"/>
        <w:ind w:firstLineChars="200" w:firstLine="420"/>
        <w:rPr>
          <w:b/>
        </w:rPr>
      </w:pPr>
      <w:r>
        <w:rPr>
          <w:rFonts w:hint="eastAsia"/>
        </w:rPr>
        <w:t>根据上述系统边界，对实际生产过程进行调研，采集农业数据、工艺数据、运输数据，</w:t>
      </w:r>
      <w:r w:rsidR="00297BC1">
        <w:rPr>
          <w:rFonts w:hint="eastAsia"/>
        </w:rPr>
        <w:t>数据为</w:t>
      </w:r>
      <w:r w:rsidR="00C63567">
        <w:rPr>
          <w:rFonts w:hint="eastAsia"/>
        </w:rPr>
        <w:t>测量或平均</w:t>
      </w:r>
      <w:r w:rsidR="00297BC1">
        <w:rPr>
          <w:rFonts w:hint="eastAsia"/>
        </w:rPr>
        <w:t>值，数据时间为</w:t>
      </w:r>
      <w:r w:rsidR="00C63567">
        <w:rPr>
          <w:rFonts w:hint="eastAsia"/>
        </w:rPr>
        <w:t>1</w:t>
      </w:r>
      <w:r w:rsidR="00C63567">
        <w:rPr>
          <w:rFonts w:hint="eastAsia"/>
        </w:rPr>
        <w:t>年内</w:t>
      </w:r>
      <w:r w:rsidR="00297BC1">
        <w:rPr>
          <w:rFonts w:hint="eastAsia"/>
        </w:rPr>
        <w:t>。</w:t>
      </w:r>
      <w:r w:rsidR="00E66BC8">
        <w:rPr>
          <w:rFonts w:hint="eastAsia"/>
        </w:rPr>
        <w:t>背景</w:t>
      </w:r>
      <w:r>
        <w:rPr>
          <w:rFonts w:hint="eastAsia"/>
        </w:rPr>
        <w:t>数据来源于公开温室气体排放系数库与文献</w:t>
      </w:r>
      <w:r>
        <w:t>。</w:t>
      </w:r>
    </w:p>
    <w:p w14:paraId="1EDDC11F" w14:textId="77777777" w:rsidR="00203484" w:rsidRDefault="00203484" w:rsidP="00203484">
      <w:pPr>
        <w:pStyle w:val="1"/>
        <w:spacing w:before="0" w:beforeAutospacing="0" w:after="0" w:afterAutospacing="0" w:line="380" w:lineRule="exact"/>
        <w:rPr>
          <w:rFonts w:ascii="黑体" w:eastAsia="黑体" w:hAnsi="黑体" w:cs="Arial"/>
          <w:b w:val="0"/>
          <w:sz w:val="21"/>
          <w:szCs w:val="21"/>
          <w:shd w:val="clear" w:color="auto" w:fill="FFFFFF"/>
        </w:rPr>
      </w:pPr>
      <w:r w:rsidRPr="00AD26B1">
        <w:rPr>
          <w:rFonts w:ascii="黑体" w:eastAsia="黑体" w:hAnsi="黑体" w:cs="Arial"/>
          <w:b w:val="0"/>
          <w:sz w:val="21"/>
          <w:szCs w:val="21"/>
          <w:shd w:val="clear" w:color="auto" w:fill="FFFFFF"/>
        </w:rPr>
        <w:t>1.</w:t>
      </w:r>
      <w:r>
        <w:rPr>
          <w:rFonts w:ascii="黑体" w:eastAsia="黑体" w:hAnsi="黑体" w:cs="Arial"/>
          <w:b w:val="0"/>
          <w:sz w:val="21"/>
          <w:szCs w:val="21"/>
          <w:shd w:val="clear" w:color="auto" w:fill="FFFFFF"/>
        </w:rPr>
        <w:t xml:space="preserve">6 </w:t>
      </w:r>
      <w:r>
        <w:rPr>
          <w:rFonts w:ascii="黑体" w:eastAsia="黑体" w:hAnsi="黑体" w:cs="Arial" w:hint="eastAsia"/>
          <w:b w:val="0"/>
          <w:sz w:val="21"/>
          <w:szCs w:val="21"/>
          <w:shd w:val="clear" w:color="auto" w:fill="FFFFFF"/>
        </w:rPr>
        <w:t>数据分配</w:t>
      </w:r>
    </w:p>
    <w:p w14:paraId="3C467643" w14:textId="0ABB12DE" w:rsidR="00203484" w:rsidRPr="002925C1" w:rsidRDefault="00203484" w:rsidP="002925C1">
      <w:pPr>
        <w:spacing w:line="380" w:lineRule="exact"/>
        <w:rPr>
          <w:b/>
        </w:rPr>
      </w:pPr>
      <w:r>
        <w:rPr>
          <w:rFonts w:hint="eastAsia"/>
        </w:rPr>
        <w:t xml:space="preserve"> </w:t>
      </w:r>
      <w:r>
        <w:t xml:space="preserve">   </w:t>
      </w:r>
      <w:r>
        <w:rPr>
          <w:rFonts w:hint="eastAsia"/>
        </w:rPr>
        <w:t>根据分配原则，香榧油与香榧饼粕的质量比为</w:t>
      </w:r>
      <w:r>
        <w:rPr>
          <w:rFonts w:hint="eastAsia"/>
        </w:rPr>
        <w:t>4</w:t>
      </w:r>
      <w:r>
        <w:rPr>
          <w:rFonts w:hint="eastAsia"/>
        </w:rPr>
        <w:t>：</w:t>
      </w:r>
      <w:r>
        <w:rPr>
          <w:rFonts w:hint="eastAsia"/>
        </w:rPr>
        <w:t>5</w:t>
      </w:r>
      <w:r w:rsidR="00415C39">
        <w:rPr>
          <w:rFonts w:hint="eastAsia"/>
        </w:rPr>
        <w:t>，产品估值分别为</w:t>
      </w:r>
      <w:r w:rsidR="00415C39">
        <w:rPr>
          <w:rFonts w:hint="eastAsia"/>
        </w:rPr>
        <w:t>1</w:t>
      </w:r>
      <w:r w:rsidR="00415C39">
        <w:t>200</w:t>
      </w:r>
      <w:r w:rsidR="00415C39">
        <w:rPr>
          <w:rFonts w:hint="eastAsia"/>
        </w:rPr>
        <w:t>元</w:t>
      </w:r>
      <w:r w:rsidR="00415C39">
        <w:rPr>
          <w:rFonts w:hint="eastAsia"/>
        </w:rPr>
        <w:t>/kg</w:t>
      </w:r>
      <w:r w:rsidR="00415C39">
        <w:rPr>
          <w:rFonts w:hint="eastAsia"/>
        </w:rPr>
        <w:t>与</w:t>
      </w:r>
      <w:r w:rsidR="00415C39">
        <w:t>40</w:t>
      </w:r>
      <w:r w:rsidR="00415C39">
        <w:rPr>
          <w:rFonts w:hint="eastAsia"/>
        </w:rPr>
        <w:t>元</w:t>
      </w:r>
      <w:r w:rsidR="00415C39">
        <w:rPr>
          <w:rFonts w:hint="eastAsia"/>
        </w:rPr>
        <w:t>/kg</w:t>
      </w:r>
      <w:r w:rsidR="00415C39">
        <w:rPr>
          <w:rFonts w:hint="eastAsia"/>
        </w:rPr>
        <w:t>，最终确定分配比例为</w:t>
      </w:r>
      <w:r w:rsidR="00415C39">
        <w:rPr>
          <w:rFonts w:hint="eastAsia"/>
        </w:rPr>
        <w:t>2</w:t>
      </w:r>
      <w:r w:rsidR="00415C39">
        <w:t>4</w:t>
      </w:r>
      <w:r w:rsidR="00415C39">
        <w:rPr>
          <w:rFonts w:hint="eastAsia"/>
        </w:rPr>
        <w:t>：</w:t>
      </w:r>
      <w:r w:rsidR="00415C39">
        <w:t>1</w:t>
      </w:r>
      <w:r w:rsidR="00415C39">
        <w:rPr>
          <w:rFonts w:hint="eastAsia"/>
        </w:rPr>
        <w:t>。</w:t>
      </w:r>
      <w:r>
        <w:rPr>
          <w:rFonts w:hint="eastAsia"/>
        </w:rPr>
        <w:t>基于该比例，对香榧油上游流程中的香榧种植生产阶段与核心流程生产阶段中物理压榨前</w:t>
      </w:r>
      <w:r w:rsidR="00297BC1">
        <w:rPr>
          <w:rFonts w:hint="eastAsia"/>
        </w:rPr>
        <w:t>(</w:t>
      </w:r>
      <w:r w:rsidR="00297BC1">
        <w:rPr>
          <w:rFonts w:hint="eastAsia"/>
        </w:rPr>
        <w:t>包括物理压榨</w:t>
      </w:r>
      <w:r w:rsidR="00297BC1">
        <w:rPr>
          <w:rFonts w:hint="eastAsia"/>
        </w:rPr>
        <w:t>)</w:t>
      </w:r>
      <w:r>
        <w:rPr>
          <w:rFonts w:hint="eastAsia"/>
        </w:rPr>
        <w:t>的阶段进行数据分配。</w:t>
      </w:r>
    </w:p>
    <w:p w14:paraId="7633C46C" w14:textId="77777777" w:rsidR="00AE2EC7" w:rsidRPr="00AD26B1" w:rsidRDefault="008A5C75">
      <w:pPr>
        <w:pStyle w:val="1"/>
        <w:spacing w:before="0" w:beforeAutospacing="0" w:after="0" w:afterAutospacing="0" w:line="380" w:lineRule="exact"/>
        <w:rPr>
          <w:rFonts w:ascii="黑体" w:eastAsia="黑体" w:hAnsi="黑体" w:cs="Arial"/>
          <w:b w:val="0"/>
          <w:sz w:val="21"/>
          <w:szCs w:val="21"/>
          <w:shd w:val="clear" w:color="auto" w:fill="FFFFFF"/>
        </w:rPr>
      </w:pPr>
      <w:r>
        <w:rPr>
          <w:rFonts w:ascii="黑体" w:eastAsia="黑体" w:hAnsi="黑体" w:cs="Arial" w:hint="eastAsia"/>
          <w:b w:val="0"/>
          <w:sz w:val="21"/>
          <w:szCs w:val="21"/>
          <w:shd w:val="clear" w:color="auto" w:fill="FFFFFF"/>
        </w:rPr>
        <w:t>1.7</w:t>
      </w:r>
      <w:r w:rsidR="00374908">
        <w:rPr>
          <w:rFonts w:ascii="黑体" w:eastAsia="黑体" w:hAnsi="黑体" w:cs="Arial"/>
          <w:b w:val="0"/>
          <w:sz w:val="21"/>
          <w:szCs w:val="21"/>
          <w:shd w:val="clear" w:color="auto" w:fill="FFFFFF"/>
        </w:rPr>
        <w:t xml:space="preserve"> </w:t>
      </w:r>
      <w:r w:rsidR="00AE2EC7">
        <w:rPr>
          <w:rFonts w:ascii="黑体" w:eastAsia="黑体" w:hAnsi="黑体" w:cs="Arial" w:hint="eastAsia"/>
          <w:b w:val="0"/>
          <w:sz w:val="21"/>
          <w:szCs w:val="21"/>
          <w:shd w:val="clear" w:color="auto" w:fill="FFFFFF"/>
        </w:rPr>
        <w:t>碳足迹评估结果</w:t>
      </w:r>
    </w:p>
    <w:p w14:paraId="3B036C81" w14:textId="77777777" w:rsidR="001C1073" w:rsidRDefault="00C63567">
      <w:pPr>
        <w:spacing w:line="380" w:lineRule="exact"/>
        <w:ind w:firstLineChars="200" w:firstLine="420"/>
        <w:jc w:val="left"/>
      </w:pPr>
      <w:r>
        <w:rPr>
          <w:rFonts w:hint="eastAsia"/>
        </w:rPr>
        <w:t>基于收集数据进行碳足迹计算。</w:t>
      </w:r>
      <w:r w:rsidR="005039FA">
        <w:rPr>
          <w:rFonts w:hint="eastAsia"/>
        </w:rPr>
        <w:t>针对上游流程中的电力生产，采用电网排放因子</w:t>
      </w:r>
      <w:r w:rsidR="005039FA">
        <w:t xml:space="preserve">0.7035kg </w:t>
      </w:r>
      <w:r w:rsidR="005039FA">
        <w:rPr>
          <w:rFonts w:hint="eastAsia"/>
        </w:rPr>
        <w:t>CO</w:t>
      </w:r>
      <w:r w:rsidR="005039FA">
        <w:rPr>
          <w:rFonts w:hint="eastAsia"/>
          <w:vertAlign w:val="subscript"/>
        </w:rPr>
        <w:t>2</w:t>
      </w:r>
      <w:r w:rsidR="005039FA">
        <w:rPr>
          <w:rFonts w:hint="eastAsia"/>
        </w:rPr>
        <w:t>/kWh</w:t>
      </w:r>
      <w:r w:rsidR="005039FA">
        <w:rPr>
          <w:rFonts w:hint="eastAsia"/>
        </w:rPr>
        <w:t>。针对下游流程中的产品使用。香榧油作为食品，在碳足迹核算边界外。根据计算，</w:t>
      </w:r>
      <w:r w:rsidR="005039FA" w:rsidRPr="009A489E">
        <w:rPr>
          <w:rFonts w:hint="eastAsia"/>
        </w:rPr>
        <w:t>其余流程碳足迹评估结果见表</w:t>
      </w:r>
      <w:r w:rsidR="005039FA" w:rsidRPr="009A489E">
        <w:t>4.1</w:t>
      </w:r>
      <w:r w:rsidR="005039FA" w:rsidRPr="009A489E">
        <w:rPr>
          <w:rFonts w:hint="eastAsia"/>
        </w:rPr>
        <w:t>。</w:t>
      </w:r>
    </w:p>
    <w:p w14:paraId="0D6661B7" w14:textId="77777777" w:rsidR="001C1073" w:rsidRDefault="005039FA">
      <w:pPr>
        <w:spacing w:line="380" w:lineRule="exact"/>
        <w:ind w:firstLineChars="200" w:firstLine="420"/>
        <w:jc w:val="center"/>
      </w:pPr>
      <w:r>
        <w:rPr>
          <w:rFonts w:ascii="黑体" w:eastAsia="黑体" w:hAnsi="黑体" w:cs="黑体" w:hint="eastAsia"/>
        </w:rPr>
        <w:t>表4.1 香榧油产品碳足迹</w:t>
      </w:r>
    </w:p>
    <w:p w14:paraId="2BBF5C95" w14:textId="77777777" w:rsidR="001C1073" w:rsidRDefault="005039FA">
      <w:pPr>
        <w:spacing w:line="380" w:lineRule="exact"/>
        <w:ind w:right="630" w:firstLine="480"/>
        <w:jc w:val="right"/>
      </w:pPr>
      <w:r>
        <w:rPr>
          <w:rFonts w:hint="eastAsia"/>
        </w:rPr>
        <w:t>单位：</w:t>
      </w:r>
      <w:r>
        <w:rPr>
          <w:rFonts w:hint="eastAsia"/>
        </w:rPr>
        <w:t xml:space="preserve"> kgCO</w:t>
      </w:r>
      <w:r>
        <w:rPr>
          <w:rFonts w:hint="eastAsia"/>
          <w:vertAlign w:val="subscript"/>
        </w:rPr>
        <w:t>2</w:t>
      </w:r>
      <w:r>
        <w:rPr>
          <w:rFonts w:hint="eastAsia"/>
        </w:rPr>
        <w:t>/kg</w:t>
      </w:r>
    </w:p>
    <w:tbl>
      <w:tblPr>
        <w:tblStyle w:val="ab"/>
        <w:tblW w:w="8364"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93"/>
        <w:gridCol w:w="979"/>
        <w:gridCol w:w="980"/>
        <w:gridCol w:w="979"/>
        <w:gridCol w:w="980"/>
        <w:gridCol w:w="979"/>
        <w:gridCol w:w="980"/>
        <w:gridCol w:w="1394"/>
      </w:tblGrid>
      <w:tr w:rsidR="001C1073" w14:paraId="7B31D549" w14:textId="77777777">
        <w:trPr>
          <w:jc w:val="center"/>
        </w:trPr>
        <w:tc>
          <w:tcPr>
            <w:tcW w:w="1093" w:type="dxa"/>
            <w:vMerge w:val="restart"/>
            <w:tcBorders>
              <w:tl2br w:val="nil"/>
              <w:tr2bl w:val="nil"/>
            </w:tcBorders>
            <w:vAlign w:val="center"/>
          </w:tcPr>
          <w:p w14:paraId="674F9552" w14:textId="77777777" w:rsidR="001C1073" w:rsidRPr="009A489E" w:rsidRDefault="001C1073">
            <w:pPr>
              <w:spacing w:line="380" w:lineRule="exact"/>
              <w:jc w:val="center"/>
              <w:rPr>
                <w:kern w:val="0"/>
                <w:sz w:val="18"/>
                <w:szCs w:val="18"/>
              </w:rPr>
            </w:pPr>
          </w:p>
        </w:tc>
        <w:tc>
          <w:tcPr>
            <w:tcW w:w="1959" w:type="dxa"/>
            <w:gridSpan w:val="2"/>
            <w:tcBorders>
              <w:tl2br w:val="nil"/>
              <w:tr2bl w:val="nil"/>
            </w:tcBorders>
            <w:vAlign w:val="center"/>
          </w:tcPr>
          <w:p w14:paraId="732058C8" w14:textId="77777777" w:rsidR="001C1073" w:rsidRPr="009A489E" w:rsidRDefault="005039FA">
            <w:pPr>
              <w:spacing w:line="380" w:lineRule="exact"/>
              <w:jc w:val="center"/>
              <w:rPr>
                <w:kern w:val="0"/>
                <w:sz w:val="18"/>
                <w:szCs w:val="18"/>
              </w:rPr>
            </w:pPr>
            <w:r w:rsidRPr="009A489E">
              <w:rPr>
                <w:rFonts w:hint="eastAsia"/>
                <w:kern w:val="0"/>
                <w:sz w:val="18"/>
                <w:szCs w:val="18"/>
              </w:rPr>
              <w:t>上游流程</w:t>
            </w:r>
          </w:p>
        </w:tc>
        <w:tc>
          <w:tcPr>
            <w:tcW w:w="1959" w:type="dxa"/>
            <w:gridSpan w:val="2"/>
            <w:tcBorders>
              <w:tl2br w:val="nil"/>
              <w:tr2bl w:val="nil"/>
            </w:tcBorders>
            <w:vAlign w:val="center"/>
          </w:tcPr>
          <w:p w14:paraId="3AFAE35F" w14:textId="77777777" w:rsidR="001C1073" w:rsidRPr="009A489E" w:rsidRDefault="005039FA">
            <w:pPr>
              <w:spacing w:line="380" w:lineRule="exact"/>
              <w:jc w:val="center"/>
              <w:rPr>
                <w:kern w:val="0"/>
                <w:sz w:val="18"/>
                <w:szCs w:val="18"/>
              </w:rPr>
            </w:pPr>
            <w:r w:rsidRPr="009A489E">
              <w:rPr>
                <w:rFonts w:hint="eastAsia"/>
                <w:kern w:val="0"/>
                <w:sz w:val="18"/>
                <w:szCs w:val="18"/>
              </w:rPr>
              <w:t>核心流程</w:t>
            </w:r>
          </w:p>
        </w:tc>
        <w:tc>
          <w:tcPr>
            <w:tcW w:w="1959" w:type="dxa"/>
            <w:gridSpan w:val="2"/>
            <w:tcBorders>
              <w:tl2br w:val="nil"/>
              <w:tr2bl w:val="nil"/>
            </w:tcBorders>
            <w:vAlign w:val="center"/>
          </w:tcPr>
          <w:p w14:paraId="45F190F2" w14:textId="77777777" w:rsidR="001C1073" w:rsidRPr="009A489E" w:rsidRDefault="005039FA">
            <w:pPr>
              <w:spacing w:line="380" w:lineRule="exact"/>
              <w:jc w:val="center"/>
              <w:rPr>
                <w:kern w:val="0"/>
                <w:sz w:val="18"/>
                <w:szCs w:val="18"/>
              </w:rPr>
            </w:pPr>
            <w:r w:rsidRPr="009A489E">
              <w:rPr>
                <w:rFonts w:hint="eastAsia"/>
                <w:kern w:val="0"/>
                <w:sz w:val="18"/>
                <w:szCs w:val="18"/>
              </w:rPr>
              <w:t>下游流程</w:t>
            </w:r>
          </w:p>
        </w:tc>
        <w:tc>
          <w:tcPr>
            <w:tcW w:w="1394" w:type="dxa"/>
            <w:vMerge w:val="restart"/>
            <w:tcBorders>
              <w:tl2br w:val="nil"/>
              <w:tr2bl w:val="nil"/>
            </w:tcBorders>
            <w:vAlign w:val="center"/>
          </w:tcPr>
          <w:p w14:paraId="5F528128" w14:textId="77777777" w:rsidR="001C1073" w:rsidRPr="009A489E" w:rsidRDefault="005039FA">
            <w:pPr>
              <w:spacing w:line="380" w:lineRule="exact"/>
              <w:jc w:val="center"/>
              <w:rPr>
                <w:kern w:val="0"/>
                <w:sz w:val="18"/>
                <w:szCs w:val="18"/>
              </w:rPr>
            </w:pPr>
            <w:r w:rsidRPr="009A489E">
              <w:rPr>
                <w:rFonts w:hint="eastAsia"/>
                <w:kern w:val="0"/>
                <w:sz w:val="18"/>
                <w:szCs w:val="18"/>
              </w:rPr>
              <w:t>合计</w:t>
            </w:r>
          </w:p>
        </w:tc>
      </w:tr>
      <w:tr w:rsidR="001C1073" w14:paraId="771E2634" w14:textId="77777777">
        <w:trPr>
          <w:jc w:val="center"/>
        </w:trPr>
        <w:tc>
          <w:tcPr>
            <w:tcW w:w="1093" w:type="dxa"/>
            <w:vMerge/>
            <w:tcBorders>
              <w:bottom w:val="single" w:sz="8" w:space="0" w:color="auto"/>
              <w:tl2br w:val="nil"/>
              <w:tr2bl w:val="nil"/>
            </w:tcBorders>
            <w:vAlign w:val="center"/>
          </w:tcPr>
          <w:p w14:paraId="41D05817" w14:textId="77777777" w:rsidR="001C1073" w:rsidRPr="009A489E" w:rsidRDefault="001C1073">
            <w:pPr>
              <w:spacing w:line="380" w:lineRule="exact"/>
              <w:jc w:val="center"/>
              <w:rPr>
                <w:kern w:val="0"/>
                <w:sz w:val="18"/>
                <w:szCs w:val="18"/>
              </w:rPr>
            </w:pPr>
          </w:p>
        </w:tc>
        <w:tc>
          <w:tcPr>
            <w:tcW w:w="979" w:type="dxa"/>
            <w:tcBorders>
              <w:bottom w:val="single" w:sz="8" w:space="0" w:color="auto"/>
              <w:tl2br w:val="nil"/>
              <w:tr2bl w:val="nil"/>
            </w:tcBorders>
            <w:vAlign w:val="center"/>
          </w:tcPr>
          <w:p w14:paraId="70D04CE2" w14:textId="77777777" w:rsidR="001C1073" w:rsidRPr="009A489E" w:rsidRDefault="005039FA">
            <w:pPr>
              <w:spacing w:line="380" w:lineRule="exact"/>
              <w:jc w:val="center"/>
              <w:rPr>
                <w:kern w:val="0"/>
                <w:sz w:val="18"/>
                <w:szCs w:val="18"/>
              </w:rPr>
            </w:pPr>
            <w:r w:rsidRPr="009A489E">
              <w:rPr>
                <w:rFonts w:hint="eastAsia"/>
                <w:kern w:val="0"/>
                <w:sz w:val="18"/>
                <w:szCs w:val="18"/>
              </w:rPr>
              <w:t>香榧</w:t>
            </w:r>
            <w:r w:rsidR="00203484">
              <w:rPr>
                <w:rFonts w:hint="eastAsia"/>
                <w:kern w:val="0"/>
                <w:sz w:val="18"/>
                <w:szCs w:val="18"/>
              </w:rPr>
              <w:t>种植</w:t>
            </w:r>
          </w:p>
          <w:p w14:paraId="022274D7" w14:textId="77777777" w:rsidR="001C1073" w:rsidRPr="009A489E" w:rsidRDefault="005039FA">
            <w:pPr>
              <w:spacing w:line="380" w:lineRule="exact"/>
              <w:jc w:val="center"/>
              <w:rPr>
                <w:kern w:val="0"/>
                <w:sz w:val="18"/>
                <w:szCs w:val="18"/>
              </w:rPr>
            </w:pPr>
            <w:r w:rsidRPr="009A489E">
              <w:rPr>
                <w:rFonts w:hint="eastAsia"/>
                <w:kern w:val="0"/>
                <w:sz w:val="18"/>
                <w:szCs w:val="18"/>
              </w:rPr>
              <w:t>生产</w:t>
            </w:r>
          </w:p>
        </w:tc>
        <w:tc>
          <w:tcPr>
            <w:tcW w:w="980" w:type="dxa"/>
            <w:tcBorders>
              <w:bottom w:val="single" w:sz="8" w:space="0" w:color="auto"/>
              <w:tl2br w:val="nil"/>
              <w:tr2bl w:val="nil"/>
            </w:tcBorders>
            <w:vAlign w:val="center"/>
          </w:tcPr>
          <w:p w14:paraId="7EE8FD98" w14:textId="77777777" w:rsidR="001C1073" w:rsidRPr="009A489E" w:rsidRDefault="005039FA">
            <w:pPr>
              <w:spacing w:line="380" w:lineRule="exact"/>
              <w:jc w:val="center"/>
              <w:rPr>
                <w:kern w:val="0"/>
                <w:sz w:val="18"/>
                <w:szCs w:val="18"/>
              </w:rPr>
            </w:pPr>
            <w:r w:rsidRPr="009A489E">
              <w:rPr>
                <w:rFonts w:hint="eastAsia"/>
                <w:kern w:val="0"/>
                <w:sz w:val="18"/>
                <w:szCs w:val="18"/>
              </w:rPr>
              <w:t>包装材料生产</w:t>
            </w:r>
          </w:p>
        </w:tc>
        <w:tc>
          <w:tcPr>
            <w:tcW w:w="979" w:type="dxa"/>
            <w:tcBorders>
              <w:bottom w:val="single" w:sz="8" w:space="0" w:color="auto"/>
              <w:tl2br w:val="nil"/>
              <w:tr2bl w:val="nil"/>
            </w:tcBorders>
            <w:vAlign w:val="center"/>
          </w:tcPr>
          <w:p w14:paraId="4B55B7D7" w14:textId="77777777" w:rsidR="001C1073" w:rsidRPr="009A489E" w:rsidRDefault="005039FA">
            <w:pPr>
              <w:spacing w:line="380" w:lineRule="exact"/>
              <w:jc w:val="center"/>
              <w:rPr>
                <w:kern w:val="0"/>
                <w:sz w:val="18"/>
                <w:szCs w:val="18"/>
              </w:rPr>
            </w:pPr>
            <w:r w:rsidRPr="009A489E">
              <w:rPr>
                <w:rFonts w:hint="eastAsia"/>
                <w:kern w:val="0"/>
                <w:sz w:val="18"/>
                <w:szCs w:val="18"/>
              </w:rPr>
              <w:t>生产</w:t>
            </w:r>
          </w:p>
          <w:p w14:paraId="327A9B2F" w14:textId="77777777" w:rsidR="001C1073" w:rsidRPr="009A489E" w:rsidRDefault="005039FA">
            <w:pPr>
              <w:spacing w:line="380" w:lineRule="exact"/>
              <w:jc w:val="center"/>
              <w:rPr>
                <w:kern w:val="0"/>
                <w:sz w:val="18"/>
                <w:szCs w:val="18"/>
              </w:rPr>
            </w:pPr>
            <w:r w:rsidRPr="009A489E">
              <w:rPr>
                <w:rFonts w:hint="eastAsia"/>
                <w:kern w:val="0"/>
                <w:sz w:val="18"/>
                <w:szCs w:val="18"/>
              </w:rPr>
              <w:t>阶段</w:t>
            </w:r>
          </w:p>
        </w:tc>
        <w:tc>
          <w:tcPr>
            <w:tcW w:w="980" w:type="dxa"/>
            <w:tcBorders>
              <w:bottom w:val="single" w:sz="8" w:space="0" w:color="auto"/>
              <w:tl2br w:val="nil"/>
              <w:tr2bl w:val="nil"/>
            </w:tcBorders>
            <w:vAlign w:val="center"/>
          </w:tcPr>
          <w:p w14:paraId="24A01904" w14:textId="77777777" w:rsidR="001C1073" w:rsidRPr="009A489E" w:rsidRDefault="005039FA">
            <w:pPr>
              <w:spacing w:line="380" w:lineRule="exact"/>
              <w:jc w:val="center"/>
              <w:rPr>
                <w:kern w:val="0"/>
                <w:sz w:val="18"/>
                <w:szCs w:val="18"/>
              </w:rPr>
            </w:pPr>
            <w:r w:rsidRPr="009A489E">
              <w:rPr>
                <w:rFonts w:hint="eastAsia"/>
                <w:kern w:val="0"/>
                <w:sz w:val="18"/>
                <w:szCs w:val="18"/>
              </w:rPr>
              <w:t>包装</w:t>
            </w:r>
          </w:p>
          <w:p w14:paraId="2CEC781C" w14:textId="77777777" w:rsidR="001C1073" w:rsidRPr="009A489E" w:rsidRDefault="005039FA">
            <w:pPr>
              <w:spacing w:line="380" w:lineRule="exact"/>
              <w:jc w:val="center"/>
              <w:rPr>
                <w:kern w:val="0"/>
                <w:sz w:val="18"/>
                <w:szCs w:val="18"/>
              </w:rPr>
            </w:pPr>
            <w:r w:rsidRPr="009A489E">
              <w:rPr>
                <w:rFonts w:hint="eastAsia"/>
                <w:kern w:val="0"/>
                <w:sz w:val="18"/>
                <w:szCs w:val="18"/>
              </w:rPr>
              <w:t>阶段</w:t>
            </w:r>
          </w:p>
        </w:tc>
        <w:tc>
          <w:tcPr>
            <w:tcW w:w="979" w:type="dxa"/>
            <w:tcBorders>
              <w:bottom w:val="single" w:sz="8" w:space="0" w:color="auto"/>
              <w:tl2br w:val="nil"/>
              <w:tr2bl w:val="nil"/>
            </w:tcBorders>
            <w:vAlign w:val="center"/>
          </w:tcPr>
          <w:p w14:paraId="06C892DB" w14:textId="77777777" w:rsidR="001C1073" w:rsidRPr="009A489E" w:rsidRDefault="005039FA">
            <w:pPr>
              <w:spacing w:line="380" w:lineRule="exact"/>
              <w:jc w:val="center"/>
              <w:rPr>
                <w:kern w:val="0"/>
                <w:sz w:val="18"/>
                <w:szCs w:val="18"/>
              </w:rPr>
            </w:pPr>
            <w:r w:rsidRPr="009A489E">
              <w:rPr>
                <w:rFonts w:hint="eastAsia"/>
                <w:kern w:val="0"/>
                <w:sz w:val="18"/>
                <w:szCs w:val="18"/>
              </w:rPr>
              <w:t>产品</w:t>
            </w:r>
          </w:p>
          <w:p w14:paraId="57B69660" w14:textId="77777777" w:rsidR="001C1073" w:rsidRPr="009A489E" w:rsidRDefault="005039FA">
            <w:pPr>
              <w:spacing w:line="380" w:lineRule="exact"/>
              <w:jc w:val="center"/>
              <w:rPr>
                <w:kern w:val="0"/>
                <w:sz w:val="18"/>
                <w:szCs w:val="18"/>
              </w:rPr>
            </w:pPr>
            <w:r w:rsidRPr="009A489E">
              <w:rPr>
                <w:rFonts w:hint="eastAsia"/>
                <w:kern w:val="0"/>
                <w:sz w:val="18"/>
                <w:szCs w:val="18"/>
              </w:rPr>
              <w:t>运输</w:t>
            </w:r>
          </w:p>
        </w:tc>
        <w:tc>
          <w:tcPr>
            <w:tcW w:w="980" w:type="dxa"/>
            <w:tcBorders>
              <w:bottom w:val="single" w:sz="8" w:space="0" w:color="auto"/>
              <w:tl2br w:val="nil"/>
              <w:tr2bl w:val="nil"/>
            </w:tcBorders>
            <w:vAlign w:val="center"/>
          </w:tcPr>
          <w:p w14:paraId="12B3D145" w14:textId="77777777" w:rsidR="001C1073" w:rsidRPr="009A489E" w:rsidRDefault="005039FA">
            <w:pPr>
              <w:spacing w:line="380" w:lineRule="exact"/>
              <w:jc w:val="center"/>
              <w:rPr>
                <w:kern w:val="0"/>
                <w:sz w:val="18"/>
                <w:szCs w:val="18"/>
              </w:rPr>
            </w:pPr>
            <w:r w:rsidRPr="009A489E">
              <w:rPr>
                <w:rFonts w:hint="eastAsia"/>
                <w:kern w:val="0"/>
                <w:sz w:val="18"/>
                <w:szCs w:val="18"/>
              </w:rPr>
              <w:t>包装</w:t>
            </w:r>
          </w:p>
          <w:p w14:paraId="1770093A" w14:textId="77777777" w:rsidR="001C1073" w:rsidRPr="009A489E" w:rsidRDefault="005039FA">
            <w:pPr>
              <w:spacing w:line="380" w:lineRule="exact"/>
              <w:jc w:val="center"/>
              <w:rPr>
                <w:kern w:val="0"/>
                <w:sz w:val="18"/>
                <w:szCs w:val="18"/>
              </w:rPr>
            </w:pPr>
            <w:r w:rsidRPr="009A489E">
              <w:rPr>
                <w:rFonts w:hint="eastAsia"/>
                <w:kern w:val="0"/>
                <w:sz w:val="18"/>
                <w:szCs w:val="18"/>
              </w:rPr>
              <w:t>废弃</w:t>
            </w:r>
          </w:p>
        </w:tc>
        <w:tc>
          <w:tcPr>
            <w:tcW w:w="1394" w:type="dxa"/>
            <w:vMerge/>
            <w:tcBorders>
              <w:bottom w:val="single" w:sz="8" w:space="0" w:color="auto"/>
              <w:tl2br w:val="nil"/>
              <w:tr2bl w:val="nil"/>
            </w:tcBorders>
            <w:vAlign w:val="center"/>
          </w:tcPr>
          <w:p w14:paraId="401EC2A6" w14:textId="77777777" w:rsidR="001C1073" w:rsidRPr="009A489E" w:rsidRDefault="001C1073">
            <w:pPr>
              <w:spacing w:line="380" w:lineRule="exact"/>
              <w:jc w:val="center"/>
              <w:rPr>
                <w:kern w:val="0"/>
                <w:sz w:val="18"/>
                <w:szCs w:val="18"/>
              </w:rPr>
            </w:pPr>
          </w:p>
        </w:tc>
      </w:tr>
      <w:tr w:rsidR="001C1073" w14:paraId="4F7DF20E" w14:textId="77777777">
        <w:trPr>
          <w:jc w:val="center"/>
        </w:trPr>
        <w:tc>
          <w:tcPr>
            <w:tcW w:w="1093" w:type="dxa"/>
            <w:tcBorders>
              <w:top w:val="single" w:sz="8" w:space="0" w:color="auto"/>
            </w:tcBorders>
            <w:vAlign w:val="center"/>
          </w:tcPr>
          <w:p w14:paraId="5AAC992B" w14:textId="77777777" w:rsidR="001C1073" w:rsidRPr="009A489E" w:rsidRDefault="005039FA" w:rsidP="0007250F">
            <w:pPr>
              <w:spacing w:line="380" w:lineRule="exact"/>
              <w:jc w:val="center"/>
              <w:rPr>
                <w:kern w:val="0"/>
                <w:sz w:val="18"/>
                <w:szCs w:val="18"/>
              </w:rPr>
            </w:pPr>
            <w:r w:rsidRPr="009A489E">
              <w:rPr>
                <w:rFonts w:hint="eastAsia"/>
                <w:kern w:val="0"/>
                <w:sz w:val="18"/>
                <w:szCs w:val="18"/>
              </w:rPr>
              <w:t>碳足迹</w:t>
            </w:r>
          </w:p>
        </w:tc>
        <w:tc>
          <w:tcPr>
            <w:tcW w:w="979" w:type="dxa"/>
            <w:tcBorders>
              <w:top w:val="single" w:sz="8" w:space="0" w:color="auto"/>
            </w:tcBorders>
            <w:vAlign w:val="center"/>
          </w:tcPr>
          <w:p w14:paraId="2A7CDF43" w14:textId="45CF7AEE" w:rsidR="001C1073" w:rsidRPr="009A489E" w:rsidRDefault="009D7EA0" w:rsidP="008A5C75">
            <w:pPr>
              <w:spacing w:line="380" w:lineRule="exact"/>
              <w:jc w:val="center"/>
              <w:rPr>
                <w:kern w:val="0"/>
                <w:sz w:val="18"/>
                <w:szCs w:val="18"/>
              </w:rPr>
            </w:pPr>
            <w:r>
              <w:rPr>
                <w:kern w:val="0"/>
                <w:sz w:val="18"/>
                <w:szCs w:val="18"/>
              </w:rPr>
              <w:t>3.07</w:t>
            </w:r>
          </w:p>
        </w:tc>
        <w:tc>
          <w:tcPr>
            <w:tcW w:w="980" w:type="dxa"/>
            <w:tcBorders>
              <w:top w:val="single" w:sz="8" w:space="0" w:color="auto"/>
            </w:tcBorders>
            <w:vAlign w:val="center"/>
          </w:tcPr>
          <w:p w14:paraId="138DE29C" w14:textId="77777777" w:rsidR="001C1073" w:rsidRPr="009A489E" w:rsidRDefault="005039FA" w:rsidP="008A5C75">
            <w:pPr>
              <w:spacing w:line="380" w:lineRule="exact"/>
              <w:jc w:val="center"/>
              <w:rPr>
                <w:kern w:val="0"/>
                <w:sz w:val="18"/>
                <w:szCs w:val="18"/>
              </w:rPr>
            </w:pPr>
            <w:r w:rsidRPr="009A489E">
              <w:rPr>
                <w:kern w:val="0"/>
                <w:sz w:val="18"/>
                <w:szCs w:val="18"/>
              </w:rPr>
              <w:t>0.40</w:t>
            </w:r>
          </w:p>
        </w:tc>
        <w:tc>
          <w:tcPr>
            <w:tcW w:w="979" w:type="dxa"/>
            <w:tcBorders>
              <w:top w:val="single" w:sz="8" w:space="0" w:color="auto"/>
            </w:tcBorders>
            <w:vAlign w:val="center"/>
          </w:tcPr>
          <w:p w14:paraId="453B4946" w14:textId="43ABE3B6" w:rsidR="001C1073" w:rsidRPr="009A489E" w:rsidRDefault="009D7EA0" w:rsidP="00297BC1">
            <w:pPr>
              <w:spacing w:line="380" w:lineRule="exact"/>
              <w:jc w:val="center"/>
              <w:rPr>
                <w:kern w:val="0"/>
                <w:sz w:val="18"/>
                <w:szCs w:val="18"/>
              </w:rPr>
            </w:pPr>
            <w:r>
              <w:rPr>
                <w:kern w:val="0"/>
                <w:sz w:val="18"/>
                <w:szCs w:val="18"/>
              </w:rPr>
              <w:t>1.05</w:t>
            </w:r>
          </w:p>
        </w:tc>
        <w:tc>
          <w:tcPr>
            <w:tcW w:w="980" w:type="dxa"/>
            <w:tcBorders>
              <w:top w:val="single" w:sz="8" w:space="0" w:color="auto"/>
            </w:tcBorders>
            <w:vAlign w:val="center"/>
          </w:tcPr>
          <w:p w14:paraId="0E76CAAA" w14:textId="77777777" w:rsidR="001C1073" w:rsidRPr="009A489E" w:rsidRDefault="005039FA">
            <w:pPr>
              <w:spacing w:line="380" w:lineRule="exact"/>
              <w:jc w:val="center"/>
              <w:rPr>
                <w:kern w:val="0"/>
                <w:sz w:val="18"/>
                <w:szCs w:val="18"/>
              </w:rPr>
            </w:pPr>
            <w:r w:rsidRPr="009A489E">
              <w:rPr>
                <w:kern w:val="0"/>
                <w:sz w:val="18"/>
                <w:szCs w:val="18"/>
              </w:rPr>
              <w:t>0.08</w:t>
            </w:r>
          </w:p>
        </w:tc>
        <w:tc>
          <w:tcPr>
            <w:tcW w:w="979" w:type="dxa"/>
            <w:tcBorders>
              <w:top w:val="single" w:sz="8" w:space="0" w:color="auto"/>
            </w:tcBorders>
            <w:vAlign w:val="center"/>
          </w:tcPr>
          <w:p w14:paraId="7E499320" w14:textId="77777777" w:rsidR="001C1073" w:rsidRPr="009A489E" w:rsidRDefault="005039FA">
            <w:pPr>
              <w:spacing w:line="380" w:lineRule="exact"/>
              <w:jc w:val="center"/>
              <w:rPr>
                <w:kern w:val="0"/>
                <w:sz w:val="18"/>
                <w:szCs w:val="18"/>
              </w:rPr>
            </w:pPr>
            <w:r w:rsidRPr="009A489E">
              <w:rPr>
                <w:kern w:val="0"/>
                <w:sz w:val="18"/>
                <w:szCs w:val="18"/>
              </w:rPr>
              <w:t>0.02</w:t>
            </w:r>
          </w:p>
        </w:tc>
        <w:tc>
          <w:tcPr>
            <w:tcW w:w="980" w:type="dxa"/>
            <w:tcBorders>
              <w:top w:val="single" w:sz="8" w:space="0" w:color="auto"/>
            </w:tcBorders>
            <w:vAlign w:val="center"/>
          </w:tcPr>
          <w:p w14:paraId="679E3BBE" w14:textId="77777777" w:rsidR="001C1073" w:rsidRPr="009A489E" w:rsidRDefault="005039FA">
            <w:pPr>
              <w:spacing w:line="380" w:lineRule="exact"/>
              <w:jc w:val="center"/>
              <w:rPr>
                <w:kern w:val="0"/>
                <w:sz w:val="18"/>
                <w:szCs w:val="18"/>
              </w:rPr>
            </w:pPr>
            <w:r w:rsidRPr="009A489E">
              <w:rPr>
                <w:kern w:val="0"/>
                <w:sz w:val="18"/>
                <w:szCs w:val="18"/>
              </w:rPr>
              <w:t>0.01</w:t>
            </w:r>
          </w:p>
        </w:tc>
        <w:tc>
          <w:tcPr>
            <w:tcW w:w="1394" w:type="dxa"/>
            <w:tcBorders>
              <w:top w:val="single" w:sz="8" w:space="0" w:color="auto"/>
            </w:tcBorders>
            <w:vAlign w:val="center"/>
          </w:tcPr>
          <w:p w14:paraId="3C66D173" w14:textId="344BA27F" w:rsidR="001C1073" w:rsidRPr="009A489E" w:rsidRDefault="009D7EA0">
            <w:pPr>
              <w:spacing w:line="380" w:lineRule="exact"/>
              <w:jc w:val="center"/>
              <w:rPr>
                <w:kern w:val="0"/>
                <w:sz w:val="18"/>
                <w:szCs w:val="18"/>
              </w:rPr>
            </w:pPr>
            <w:r>
              <w:rPr>
                <w:kern w:val="0"/>
                <w:sz w:val="18"/>
                <w:szCs w:val="18"/>
              </w:rPr>
              <w:t>4.63</w:t>
            </w:r>
          </w:p>
        </w:tc>
      </w:tr>
    </w:tbl>
    <w:p w14:paraId="2DBBF5A7" w14:textId="77777777" w:rsidR="001C1073" w:rsidRDefault="005039FA" w:rsidP="0007250F">
      <w:pPr>
        <w:spacing w:line="380" w:lineRule="exact"/>
        <w:ind w:firstLineChars="200" w:firstLine="420"/>
        <w:jc w:val="left"/>
      </w:pPr>
      <w:bookmarkStart w:id="64" w:name="_Toc100560691"/>
      <w:bookmarkEnd w:id="60"/>
      <w:bookmarkEnd w:id="61"/>
      <w:bookmarkEnd w:id="62"/>
      <w:bookmarkEnd w:id="63"/>
      <w:r>
        <w:rPr>
          <w:rFonts w:hint="eastAsia"/>
        </w:rPr>
        <w:t>以核心流程中生产阶段为例，进行计算说明。</w:t>
      </w:r>
    </w:p>
    <w:p w14:paraId="1ECBD718" w14:textId="77777777" w:rsidR="001C1073" w:rsidRDefault="00AE2EC7" w:rsidP="008A5C75">
      <w:pPr>
        <w:spacing w:line="380" w:lineRule="exact"/>
        <w:ind w:firstLineChars="200" w:firstLine="420"/>
        <w:jc w:val="left"/>
      </w:pPr>
      <w:r>
        <w:rPr>
          <w:rFonts w:hint="eastAsia"/>
        </w:rPr>
        <w:t>a</w:t>
      </w:r>
      <w:r>
        <w:rPr>
          <w:rFonts w:hint="eastAsia"/>
        </w:rPr>
        <w:t>）</w:t>
      </w:r>
      <w:r w:rsidR="005039FA">
        <w:rPr>
          <w:rFonts w:hint="eastAsia"/>
        </w:rPr>
        <w:t>香榧运输至生产设施。</w:t>
      </w:r>
    </w:p>
    <w:p w14:paraId="0D077BE1" w14:textId="77777777" w:rsidR="001C1073" w:rsidRDefault="00203484" w:rsidP="008A5C75">
      <w:pPr>
        <w:spacing w:line="380" w:lineRule="exact"/>
        <w:ind w:firstLineChars="200" w:firstLine="420"/>
        <w:jc w:val="left"/>
      </w:pPr>
      <w:r>
        <w:rPr>
          <w:rFonts w:hint="eastAsia"/>
        </w:rPr>
        <w:t>香榧果</w:t>
      </w:r>
      <w:r w:rsidR="005039FA">
        <w:rPr>
          <w:rFonts w:hint="eastAsia"/>
        </w:rPr>
        <w:t>通过电动汽车运输至工厂，运输里程为</w:t>
      </w:r>
      <w:r w:rsidR="005039FA">
        <w:rPr>
          <w:rFonts w:hint="eastAsia"/>
        </w:rPr>
        <w:t>25 km</w:t>
      </w:r>
      <w:r w:rsidR="005039FA">
        <w:rPr>
          <w:rFonts w:hint="eastAsia"/>
        </w:rPr>
        <w:t>，载重为</w:t>
      </w:r>
      <w:r w:rsidR="005039FA">
        <w:rPr>
          <w:rFonts w:hint="eastAsia"/>
        </w:rPr>
        <w:t>2 t</w:t>
      </w:r>
      <w:r w:rsidR="005039FA">
        <w:rPr>
          <w:rFonts w:hint="eastAsia"/>
        </w:rPr>
        <w:t>。</w:t>
      </w:r>
      <w:r w:rsidR="00297BC1">
        <w:rPr>
          <w:rFonts w:hint="eastAsia"/>
        </w:rPr>
        <w:t>香榧出油率约</w:t>
      </w:r>
      <w:r w:rsidR="00297BC1">
        <w:rPr>
          <w:rFonts w:hint="eastAsia"/>
        </w:rPr>
        <w:t>42.2%</w:t>
      </w:r>
      <w:r w:rsidR="00297BC1">
        <w:rPr>
          <w:rFonts w:hint="eastAsia"/>
        </w:rPr>
        <w:t>。</w:t>
      </w:r>
      <w:r w:rsidR="005039FA">
        <w:rPr>
          <w:rFonts w:hint="eastAsia"/>
        </w:rPr>
        <w:t>根据文献《传统燃油车与新能源车</w:t>
      </w:r>
      <w:r w:rsidR="005039FA">
        <w:rPr>
          <w:rFonts w:hint="eastAsia"/>
        </w:rPr>
        <w:t xml:space="preserve"> LCA </w:t>
      </w:r>
      <w:r w:rsidR="005039FA">
        <w:rPr>
          <w:rFonts w:hint="eastAsia"/>
        </w:rPr>
        <w:t>碳足迹分析比较》（龚俊川等），电动汽车使用过程碳排放系数为</w:t>
      </w:r>
      <w:r w:rsidR="005039FA">
        <w:rPr>
          <w:rFonts w:hint="eastAsia"/>
        </w:rPr>
        <w:t>0.1594kgCO</w:t>
      </w:r>
      <w:r w:rsidR="005039FA">
        <w:rPr>
          <w:rFonts w:hint="eastAsia"/>
          <w:vertAlign w:val="subscript"/>
        </w:rPr>
        <w:t>2</w:t>
      </w:r>
      <w:r w:rsidR="005039FA">
        <w:rPr>
          <w:rFonts w:hint="eastAsia"/>
        </w:rPr>
        <w:t>/km</w:t>
      </w:r>
      <w:r w:rsidR="005039FA">
        <w:rPr>
          <w:rFonts w:hint="eastAsia"/>
        </w:rPr>
        <w:t>。</w:t>
      </w:r>
      <w:r w:rsidR="004C17CB">
        <w:rPr>
          <w:rFonts w:hint="eastAsia"/>
        </w:rPr>
        <w:t>计算参见式（</w:t>
      </w:r>
      <w:r w:rsidR="004C17CB">
        <w:rPr>
          <w:rFonts w:hint="eastAsia"/>
        </w:rPr>
        <w:t>1</w:t>
      </w:r>
      <w:r w:rsidR="004C17CB">
        <w:rPr>
          <w:rFonts w:hint="eastAsia"/>
        </w:rPr>
        <w:t>）。</w:t>
      </w:r>
    </w:p>
    <w:tbl>
      <w:tblPr>
        <w:tblStyle w:val="ab"/>
        <w:tblW w:w="82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
        <w:gridCol w:w="5972"/>
        <w:gridCol w:w="1127"/>
      </w:tblGrid>
      <w:tr w:rsidR="001C1073" w14:paraId="128FBE3C" w14:textId="77777777" w:rsidTr="00AE2EC7">
        <w:trPr>
          <w:trHeight w:val="592"/>
          <w:jc w:val="center"/>
        </w:trPr>
        <w:tc>
          <w:tcPr>
            <w:tcW w:w="1118" w:type="dxa"/>
            <w:vAlign w:val="center"/>
          </w:tcPr>
          <w:p w14:paraId="73281724" w14:textId="77777777" w:rsidR="001C1073" w:rsidRDefault="001C1073" w:rsidP="00297BC1">
            <w:pPr>
              <w:spacing w:line="380" w:lineRule="exact"/>
              <w:jc w:val="center"/>
              <w:rPr>
                <w:szCs w:val="21"/>
              </w:rPr>
            </w:pPr>
          </w:p>
        </w:tc>
        <w:tc>
          <w:tcPr>
            <w:tcW w:w="5972" w:type="dxa"/>
            <w:vAlign w:val="center"/>
          </w:tcPr>
          <w:p w14:paraId="640CA6F4" w14:textId="77777777" w:rsidR="001C1073" w:rsidRDefault="0003288C" w:rsidP="00297BC1">
            <w:pPr>
              <w:jc w:val="left"/>
            </w:pPr>
            <m:oMathPara>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0.1594</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kgCO</m:t>
                            </m:r>
                          </m:e>
                          <m:sub>
                            <m:r>
                              <m:rPr>
                                <m:sty m:val="p"/>
                              </m:rPr>
                              <w:rPr>
                                <w:rFonts w:ascii="Cambria Math" w:hAnsi="Cambria Math"/>
                              </w:rPr>
                              <m:t>2</m:t>
                            </m:r>
                          </m:sub>
                        </m:sSub>
                      </m:num>
                      <m:den>
                        <m:r>
                          <m:rPr>
                            <m:sty m:val="p"/>
                          </m:rPr>
                          <w:rPr>
                            <w:rFonts w:ascii="Cambria Math" w:hAnsi="Cambria Math"/>
                          </w:rPr>
                          <m:t>km</m:t>
                        </m:r>
                      </m:den>
                    </m:f>
                    <m:r>
                      <m:rPr>
                        <m:sty m:val="p"/>
                      </m:rPr>
                      <w:rPr>
                        <w:rFonts w:ascii="Cambria Math" w:hAnsi="Cambria Math"/>
                      </w:rPr>
                      <m:t>×25km</m:t>
                    </m:r>
                  </m:num>
                  <m:den>
                    <m:r>
                      <m:rPr>
                        <m:sty m:val="p"/>
                      </m:rPr>
                      <w:rPr>
                        <w:rFonts w:ascii="Cambria Math" w:hAnsi="Cambria Math"/>
                      </w:rPr>
                      <m:t>2000kg</m:t>
                    </m:r>
                  </m:den>
                </m:f>
                <m:r>
                  <m:rPr>
                    <m:sty m:val="p"/>
                  </m:rPr>
                  <w:rPr>
                    <w:rFonts w:ascii="Cambria Math" w:hAnsi="Cambria Math"/>
                  </w:rPr>
                  <m:t>÷0.422%=0.0047</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kgCO</m:t>
                        </m:r>
                      </m:e>
                      <m:sub>
                        <m:r>
                          <m:rPr>
                            <m:sty m:val="p"/>
                          </m:rPr>
                          <w:rPr>
                            <w:rFonts w:ascii="Cambria Math" w:hAnsi="Cambria Math"/>
                          </w:rPr>
                          <m:t>2</m:t>
                        </m:r>
                      </m:sub>
                    </m:sSub>
                  </m:num>
                  <m:den>
                    <m:r>
                      <m:rPr>
                        <m:sty m:val="p"/>
                      </m:rPr>
                      <w:rPr>
                        <w:rFonts w:ascii="Cambria Math" w:hAnsi="Cambria Math"/>
                      </w:rPr>
                      <m:t>kg</m:t>
                    </m:r>
                  </m:den>
                </m:f>
              </m:oMath>
            </m:oMathPara>
          </w:p>
        </w:tc>
        <w:tc>
          <w:tcPr>
            <w:tcW w:w="1127" w:type="dxa"/>
            <w:vAlign w:val="center"/>
          </w:tcPr>
          <w:p w14:paraId="546DC79D" w14:textId="77777777" w:rsidR="001C1073" w:rsidRDefault="005039FA">
            <w:pPr>
              <w:spacing w:line="380" w:lineRule="exact"/>
              <w:jc w:val="right"/>
              <w:rPr>
                <w:szCs w:val="21"/>
              </w:rPr>
            </w:pPr>
            <w:r>
              <w:rPr>
                <w:szCs w:val="21"/>
              </w:rPr>
              <w:t>（</w:t>
            </w:r>
            <w:r>
              <w:rPr>
                <w:szCs w:val="21"/>
              </w:rPr>
              <w:t>1</w:t>
            </w:r>
            <w:r>
              <w:rPr>
                <w:szCs w:val="21"/>
              </w:rPr>
              <w:t>）</w:t>
            </w:r>
          </w:p>
        </w:tc>
      </w:tr>
    </w:tbl>
    <w:p w14:paraId="2F81C25D" w14:textId="77777777" w:rsidR="001C1073" w:rsidRDefault="00AE2EC7" w:rsidP="0007250F">
      <w:pPr>
        <w:spacing w:line="380" w:lineRule="exact"/>
        <w:ind w:firstLineChars="200" w:firstLine="420"/>
        <w:jc w:val="left"/>
      </w:pPr>
      <w:r>
        <w:rPr>
          <w:rFonts w:hint="eastAsia"/>
        </w:rPr>
        <w:t>b</w:t>
      </w:r>
      <w:r>
        <w:rPr>
          <w:rFonts w:hint="eastAsia"/>
        </w:rPr>
        <w:t>）</w:t>
      </w:r>
      <w:r w:rsidR="005039FA">
        <w:rPr>
          <w:rFonts w:hint="eastAsia"/>
        </w:rPr>
        <w:t>香榧油物理压榨。</w:t>
      </w:r>
    </w:p>
    <w:p w14:paraId="200A36F7" w14:textId="77777777" w:rsidR="001C1073" w:rsidRDefault="005039FA" w:rsidP="008A5C75">
      <w:pPr>
        <w:spacing w:line="380" w:lineRule="exact"/>
        <w:ind w:firstLineChars="200" w:firstLine="420"/>
        <w:jc w:val="left"/>
      </w:pPr>
      <w:r>
        <w:rPr>
          <w:rFonts w:hint="eastAsia"/>
        </w:rPr>
        <w:t>物理压榨能耗为每</w:t>
      </w:r>
      <w:r>
        <w:rPr>
          <w:rFonts w:hint="eastAsia"/>
        </w:rPr>
        <w:t>kg</w:t>
      </w:r>
      <w:r>
        <w:rPr>
          <w:rFonts w:hint="eastAsia"/>
        </w:rPr>
        <w:t>香榧油</w:t>
      </w:r>
      <w:r>
        <w:rPr>
          <w:rFonts w:hint="eastAsia"/>
        </w:rPr>
        <w:t>0.5 kWh</w:t>
      </w:r>
      <w:r>
        <w:rPr>
          <w:rFonts w:hint="eastAsia"/>
        </w:rPr>
        <w:t>。</w:t>
      </w:r>
      <w:r w:rsidR="004C17CB">
        <w:rPr>
          <w:rFonts w:hint="eastAsia"/>
        </w:rPr>
        <w:t>计算参见式（</w:t>
      </w:r>
      <w:r w:rsidR="004C17CB">
        <w:rPr>
          <w:rFonts w:hint="eastAsia"/>
        </w:rPr>
        <w:t>2</w:t>
      </w:r>
      <w:r w:rsidR="004C17CB">
        <w:rPr>
          <w:rFonts w:hint="eastAsia"/>
        </w:rPr>
        <w:t>）。</w:t>
      </w:r>
    </w:p>
    <w:tbl>
      <w:tblPr>
        <w:tblStyle w:val="ab"/>
        <w:tblW w:w="82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5976"/>
        <w:gridCol w:w="1126"/>
      </w:tblGrid>
      <w:tr w:rsidR="001C1073" w14:paraId="4DBCB6F6" w14:textId="77777777" w:rsidTr="00AE2EC7">
        <w:trPr>
          <w:trHeight w:val="592"/>
          <w:jc w:val="center"/>
        </w:trPr>
        <w:tc>
          <w:tcPr>
            <w:tcW w:w="1115" w:type="dxa"/>
            <w:vAlign w:val="center"/>
          </w:tcPr>
          <w:p w14:paraId="42EB58A7" w14:textId="77777777" w:rsidR="001C1073" w:rsidRDefault="001C1073" w:rsidP="008A5C75">
            <w:pPr>
              <w:spacing w:line="380" w:lineRule="exact"/>
              <w:jc w:val="center"/>
              <w:rPr>
                <w:szCs w:val="21"/>
              </w:rPr>
            </w:pPr>
          </w:p>
        </w:tc>
        <w:tc>
          <w:tcPr>
            <w:tcW w:w="5976" w:type="dxa"/>
            <w:vAlign w:val="center"/>
          </w:tcPr>
          <w:p w14:paraId="59B4DDFA" w14:textId="77777777" w:rsidR="001C1073" w:rsidRDefault="0003288C" w:rsidP="008A5C75">
            <w:pPr>
              <w:jc w:val="left"/>
            </w:pPr>
            <m:oMathPara>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r>
                  <m:rPr>
                    <m:sty m:val="p"/>
                  </m:rPr>
                  <w:rPr>
                    <w:rFonts w:ascii="Cambria Math" w:hAnsi="Cambria Math"/>
                  </w:rPr>
                  <m:t>=0.5</m:t>
                </m:r>
                <m:f>
                  <m:fPr>
                    <m:type m:val="lin"/>
                    <m:ctrlPr>
                      <w:rPr>
                        <w:rFonts w:ascii="Cambria Math" w:hAnsi="Cambria Math"/>
                      </w:rPr>
                    </m:ctrlPr>
                  </m:fPr>
                  <m:num>
                    <m:r>
                      <m:rPr>
                        <m:sty m:val="p"/>
                      </m:rPr>
                      <w:rPr>
                        <w:rFonts w:ascii="Cambria Math" w:hAnsi="Cambria Math"/>
                      </w:rPr>
                      <m:t>kWh</m:t>
                    </m:r>
                  </m:num>
                  <m:den>
                    <m:r>
                      <m:rPr>
                        <m:sty m:val="p"/>
                      </m:rPr>
                      <w:rPr>
                        <w:rFonts w:ascii="Cambria Math" w:hAnsi="Cambria Math"/>
                      </w:rPr>
                      <m:t>kg×0.7035</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kgCO</m:t>
                            </m:r>
                          </m:e>
                          <m:sub>
                            <m:r>
                              <m:rPr>
                                <m:sty m:val="p"/>
                              </m:rPr>
                              <w:rPr>
                                <w:rFonts w:ascii="Cambria Math" w:hAnsi="Cambria Math"/>
                              </w:rPr>
                              <m:t>2</m:t>
                            </m:r>
                          </m:sub>
                        </m:sSub>
                      </m:num>
                      <m:den>
                        <m:r>
                          <m:rPr>
                            <m:sty m:val="p"/>
                          </m:rPr>
                          <w:rPr>
                            <w:rFonts w:ascii="Cambria Math" w:hAnsi="Cambria Math"/>
                          </w:rPr>
                          <m:t>kWh</m:t>
                        </m:r>
                      </m:den>
                    </m:f>
                  </m:den>
                </m:f>
                <m:r>
                  <m:rPr>
                    <m:sty m:val="p"/>
                  </m:rPr>
                  <w:rPr>
                    <w:rFonts w:ascii="Cambria Math" w:hAnsi="Cambria Math"/>
                  </w:rPr>
                  <m:t>=0.3518</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kgCO</m:t>
                        </m:r>
                      </m:e>
                      <m:sub>
                        <m:r>
                          <m:rPr>
                            <m:sty m:val="p"/>
                          </m:rPr>
                          <w:rPr>
                            <w:rFonts w:ascii="Cambria Math" w:hAnsi="Cambria Math"/>
                          </w:rPr>
                          <m:t>2</m:t>
                        </m:r>
                      </m:sub>
                    </m:sSub>
                  </m:num>
                  <m:den>
                    <m:r>
                      <m:rPr>
                        <m:sty m:val="p"/>
                      </m:rPr>
                      <w:rPr>
                        <w:rFonts w:ascii="Cambria Math" w:hAnsi="Cambria Math"/>
                      </w:rPr>
                      <m:t>kg</m:t>
                    </m:r>
                  </m:den>
                </m:f>
              </m:oMath>
            </m:oMathPara>
          </w:p>
        </w:tc>
        <w:tc>
          <w:tcPr>
            <w:tcW w:w="1126" w:type="dxa"/>
            <w:vAlign w:val="center"/>
          </w:tcPr>
          <w:p w14:paraId="0AB49B76" w14:textId="77777777" w:rsidR="001C1073" w:rsidRDefault="005039FA">
            <w:pPr>
              <w:spacing w:line="380" w:lineRule="exact"/>
              <w:jc w:val="right"/>
              <w:rPr>
                <w:szCs w:val="21"/>
              </w:rPr>
            </w:pPr>
            <w:r>
              <w:rPr>
                <w:szCs w:val="21"/>
              </w:rPr>
              <w:t>（</w:t>
            </w:r>
            <w:r>
              <w:rPr>
                <w:szCs w:val="21"/>
              </w:rPr>
              <w:t>2</w:t>
            </w:r>
            <w:r>
              <w:rPr>
                <w:szCs w:val="21"/>
              </w:rPr>
              <w:t>）</w:t>
            </w:r>
          </w:p>
        </w:tc>
      </w:tr>
    </w:tbl>
    <w:p w14:paraId="5BC3E4F1" w14:textId="77777777" w:rsidR="001C1073" w:rsidRDefault="00AE2EC7" w:rsidP="0007250F">
      <w:pPr>
        <w:spacing w:line="380" w:lineRule="exact"/>
        <w:ind w:firstLineChars="200" w:firstLine="420"/>
        <w:jc w:val="left"/>
      </w:pPr>
      <w:r>
        <w:rPr>
          <w:rFonts w:hint="eastAsia"/>
        </w:rPr>
        <w:t>c</w:t>
      </w:r>
      <w:r>
        <w:rPr>
          <w:rFonts w:hint="eastAsia"/>
        </w:rPr>
        <w:t>）</w:t>
      </w:r>
      <w:r w:rsidR="005039FA">
        <w:rPr>
          <w:rFonts w:hint="eastAsia"/>
        </w:rPr>
        <w:t>香榧油储存。</w:t>
      </w:r>
    </w:p>
    <w:p w14:paraId="0532C8C5" w14:textId="77777777" w:rsidR="001C1073" w:rsidRDefault="005039FA" w:rsidP="008A5C75">
      <w:pPr>
        <w:spacing w:line="380" w:lineRule="exact"/>
        <w:ind w:firstLineChars="200" w:firstLine="420"/>
        <w:jc w:val="left"/>
      </w:pPr>
      <w:r>
        <w:rPr>
          <w:rFonts w:hint="eastAsia"/>
        </w:rPr>
        <w:t>压榨后的香榧油需低温储存，储存每</w:t>
      </w:r>
      <w:r>
        <w:rPr>
          <w:rFonts w:hint="eastAsia"/>
        </w:rPr>
        <w:t>kg</w:t>
      </w:r>
      <w:r>
        <w:rPr>
          <w:rFonts w:hint="eastAsia"/>
        </w:rPr>
        <w:t>香榧油所需电力消耗为</w:t>
      </w:r>
      <w:r>
        <w:rPr>
          <w:rFonts w:hint="eastAsia"/>
        </w:rPr>
        <w:t>1 kWh</w:t>
      </w:r>
      <w:r>
        <w:rPr>
          <w:rFonts w:hint="eastAsia"/>
        </w:rPr>
        <w:t>。</w:t>
      </w:r>
      <w:r w:rsidR="004C17CB">
        <w:rPr>
          <w:rFonts w:hint="eastAsia"/>
        </w:rPr>
        <w:t>计算参见式（</w:t>
      </w:r>
      <w:r w:rsidR="004C17CB">
        <w:rPr>
          <w:rFonts w:hint="eastAsia"/>
        </w:rPr>
        <w:t>3</w:t>
      </w:r>
      <w:r w:rsidR="004C17CB">
        <w:rPr>
          <w:rFonts w:hint="eastAsia"/>
        </w:rPr>
        <w:t>）。</w:t>
      </w:r>
    </w:p>
    <w:tbl>
      <w:tblPr>
        <w:tblStyle w:val="ab"/>
        <w:tblW w:w="82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5974"/>
        <w:gridCol w:w="1126"/>
      </w:tblGrid>
      <w:tr w:rsidR="001C1073" w14:paraId="6524256C" w14:textId="77777777" w:rsidTr="00AE2EC7">
        <w:trPr>
          <w:trHeight w:val="592"/>
          <w:jc w:val="center"/>
        </w:trPr>
        <w:tc>
          <w:tcPr>
            <w:tcW w:w="1117" w:type="dxa"/>
            <w:vAlign w:val="center"/>
          </w:tcPr>
          <w:p w14:paraId="084CF188" w14:textId="77777777" w:rsidR="001C1073" w:rsidRDefault="001C1073" w:rsidP="008A5C75">
            <w:pPr>
              <w:spacing w:line="380" w:lineRule="exact"/>
              <w:jc w:val="center"/>
              <w:rPr>
                <w:szCs w:val="21"/>
              </w:rPr>
            </w:pPr>
          </w:p>
        </w:tc>
        <w:tc>
          <w:tcPr>
            <w:tcW w:w="5974" w:type="dxa"/>
            <w:vAlign w:val="center"/>
          </w:tcPr>
          <w:p w14:paraId="0ADA9838" w14:textId="77777777" w:rsidR="001C1073" w:rsidRDefault="0003288C" w:rsidP="008A5C75">
            <w:pPr>
              <w:jc w:val="left"/>
            </w:pPr>
            <m:oMathPara>
              <m:oMath>
                <m:sSub>
                  <m:sSubPr>
                    <m:ctrlPr>
                      <w:rPr>
                        <w:rFonts w:ascii="Cambria Math" w:hAnsi="Cambria Math"/>
                      </w:rPr>
                    </m:ctrlPr>
                  </m:sSubPr>
                  <m:e>
                    <m:r>
                      <m:rPr>
                        <m:sty m:val="p"/>
                      </m:rPr>
                      <w:rPr>
                        <w:rFonts w:ascii="Cambria Math" w:hAnsi="Cambria Math"/>
                      </w:rPr>
                      <m:t>M</m:t>
                    </m:r>
                  </m:e>
                  <m:sub>
                    <m:r>
                      <w:rPr>
                        <w:rFonts w:ascii="Cambria Math" w:hAnsi="Cambria Math"/>
                      </w:rPr>
                      <m:t>3</m:t>
                    </m:r>
                  </m:sub>
                </m:sSub>
                <m:r>
                  <m:rPr>
                    <m:sty m:val="p"/>
                  </m:rPr>
                  <w:rPr>
                    <w:rFonts w:ascii="Cambria Math" w:hAnsi="Cambria Math"/>
                  </w:rPr>
                  <m:t>=1</m:t>
                </m:r>
                <m:f>
                  <m:fPr>
                    <m:type m:val="lin"/>
                    <m:ctrlPr>
                      <w:rPr>
                        <w:rFonts w:ascii="Cambria Math" w:hAnsi="Cambria Math"/>
                      </w:rPr>
                    </m:ctrlPr>
                  </m:fPr>
                  <m:num>
                    <m:r>
                      <m:rPr>
                        <m:sty m:val="p"/>
                      </m:rPr>
                      <w:rPr>
                        <w:rFonts w:ascii="Cambria Math" w:hAnsi="Cambria Math"/>
                      </w:rPr>
                      <m:t>kWh</m:t>
                    </m:r>
                  </m:num>
                  <m:den>
                    <m:r>
                      <m:rPr>
                        <m:sty m:val="p"/>
                      </m:rPr>
                      <w:rPr>
                        <w:rFonts w:ascii="Cambria Math" w:hAnsi="Cambria Math"/>
                      </w:rPr>
                      <m:t>kg×0.7035</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kgCO</m:t>
                            </m:r>
                          </m:e>
                          <m:sub>
                            <m:r>
                              <m:rPr>
                                <m:sty m:val="p"/>
                              </m:rPr>
                              <w:rPr>
                                <w:rFonts w:ascii="Cambria Math" w:hAnsi="Cambria Math"/>
                              </w:rPr>
                              <m:t>2</m:t>
                            </m:r>
                          </m:sub>
                        </m:sSub>
                      </m:num>
                      <m:den>
                        <m:r>
                          <m:rPr>
                            <m:sty m:val="p"/>
                          </m:rPr>
                          <w:rPr>
                            <w:rFonts w:ascii="Cambria Math" w:hAnsi="Cambria Math"/>
                          </w:rPr>
                          <m:t>kWh</m:t>
                        </m:r>
                      </m:den>
                    </m:f>
                  </m:den>
                </m:f>
                <m:r>
                  <m:rPr>
                    <m:sty m:val="p"/>
                  </m:rPr>
                  <w:rPr>
                    <w:rFonts w:ascii="Cambria Math" w:hAnsi="Cambria Math"/>
                  </w:rPr>
                  <m:t>=0.7035</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kgCO</m:t>
                        </m:r>
                      </m:e>
                      <m:sub>
                        <m:r>
                          <m:rPr>
                            <m:sty m:val="p"/>
                          </m:rPr>
                          <w:rPr>
                            <w:rFonts w:ascii="Cambria Math" w:hAnsi="Cambria Math"/>
                          </w:rPr>
                          <m:t>2</m:t>
                        </m:r>
                      </m:sub>
                    </m:sSub>
                  </m:num>
                  <m:den>
                    <m:r>
                      <m:rPr>
                        <m:sty m:val="p"/>
                      </m:rPr>
                      <w:rPr>
                        <w:rFonts w:ascii="Cambria Math" w:hAnsi="Cambria Math"/>
                      </w:rPr>
                      <m:t>kg</m:t>
                    </m:r>
                  </m:den>
                </m:f>
              </m:oMath>
            </m:oMathPara>
          </w:p>
        </w:tc>
        <w:tc>
          <w:tcPr>
            <w:tcW w:w="1126" w:type="dxa"/>
            <w:vAlign w:val="center"/>
          </w:tcPr>
          <w:p w14:paraId="7F0E5D74" w14:textId="77777777" w:rsidR="001C1073" w:rsidRDefault="005039FA">
            <w:pPr>
              <w:spacing w:line="380" w:lineRule="exact"/>
              <w:jc w:val="right"/>
              <w:rPr>
                <w:szCs w:val="21"/>
              </w:rPr>
            </w:pPr>
            <w:r>
              <w:rPr>
                <w:szCs w:val="21"/>
              </w:rPr>
              <w:t>（</w:t>
            </w:r>
            <w:r>
              <w:rPr>
                <w:szCs w:val="21"/>
              </w:rPr>
              <w:t>3</w:t>
            </w:r>
            <w:r>
              <w:rPr>
                <w:szCs w:val="21"/>
              </w:rPr>
              <w:t>）</w:t>
            </w:r>
          </w:p>
        </w:tc>
      </w:tr>
    </w:tbl>
    <w:p w14:paraId="36BC8ADC" w14:textId="77777777" w:rsidR="001C1073" w:rsidRDefault="00AE2EC7" w:rsidP="0007250F">
      <w:pPr>
        <w:spacing w:line="380" w:lineRule="exact"/>
        <w:ind w:firstLineChars="200" w:firstLine="420"/>
        <w:jc w:val="left"/>
      </w:pPr>
      <w:r>
        <w:rPr>
          <w:rFonts w:hint="eastAsia"/>
        </w:rPr>
        <w:t>d</w:t>
      </w:r>
      <w:r>
        <w:rPr>
          <w:rFonts w:hint="eastAsia"/>
        </w:rPr>
        <w:t>）</w:t>
      </w:r>
      <w:r w:rsidR="005039FA">
        <w:rPr>
          <w:rFonts w:hint="eastAsia"/>
        </w:rPr>
        <w:t>废水处理。</w:t>
      </w:r>
    </w:p>
    <w:p w14:paraId="7A27DF9A" w14:textId="77777777" w:rsidR="001C1073" w:rsidRDefault="005039FA" w:rsidP="008A5C75">
      <w:pPr>
        <w:spacing w:line="380" w:lineRule="exact"/>
        <w:ind w:firstLineChars="200" w:firstLine="420"/>
        <w:jc w:val="left"/>
      </w:pPr>
      <w:r>
        <w:rPr>
          <w:rFonts w:hint="eastAsia"/>
        </w:rPr>
        <w:t>每生产</w:t>
      </w:r>
      <w:r>
        <w:rPr>
          <w:rFonts w:hint="eastAsia"/>
        </w:rPr>
        <w:t>1 kg</w:t>
      </w:r>
      <w:r>
        <w:rPr>
          <w:rFonts w:hint="eastAsia"/>
        </w:rPr>
        <w:t>香榧油产生</w:t>
      </w:r>
      <w:r>
        <w:rPr>
          <w:rFonts w:hint="eastAsia"/>
        </w:rPr>
        <w:t>0.3333 kg</w:t>
      </w:r>
      <w:r>
        <w:rPr>
          <w:rFonts w:hint="eastAsia"/>
        </w:rPr>
        <w:t>废水，作为农产品加工污水进行处理。根据文献《重庆市城镇污</w:t>
      </w:r>
      <w:r>
        <w:rPr>
          <w:rFonts w:hint="eastAsia"/>
        </w:rPr>
        <w:lastRenderedPageBreak/>
        <w:t>水处理系统碳排放研究》（张成），农产品加工污水温室气体排放为</w:t>
      </w:r>
      <w:r>
        <w:rPr>
          <w:rFonts w:hint="eastAsia"/>
        </w:rPr>
        <w:t>16.49</w:t>
      </w:r>
      <w:r>
        <w:t xml:space="preserve"> kg </w:t>
      </w:r>
      <w:r>
        <w:rPr>
          <w:rFonts w:hint="eastAsia"/>
        </w:rPr>
        <w:t>CO</w:t>
      </w:r>
      <w:r>
        <w:rPr>
          <w:rFonts w:hint="eastAsia"/>
          <w:vertAlign w:val="subscript"/>
        </w:rPr>
        <w:t>2</w:t>
      </w:r>
      <w:r>
        <w:rPr>
          <w:rFonts w:hint="eastAsia"/>
        </w:rPr>
        <w:t>/t</w:t>
      </w:r>
      <w:r>
        <w:rPr>
          <w:rFonts w:hint="eastAsia"/>
        </w:rPr>
        <w:t>。</w:t>
      </w:r>
      <w:r w:rsidR="004C17CB">
        <w:rPr>
          <w:rFonts w:hint="eastAsia"/>
        </w:rPr>
        <w:t>计算参见式（</w:t>
      </w:r>
      <w:r w:rsidR="004C17CB">
        <w:rPr>
          <w:rFonts w:hint="eastAsia"/>
        </w:rPr>
        <w:t>4</w:t>
      </w:r>
      <w:r w:rsidR="004C17CB">
        <w:rPr>
          <w:rFonts w:hint="eastAsia"/>
        </w:rPr>
        <w:t>）。</w:t>
      </w:r>
    </w:p>
    <w:tbl>
      <w:tblPr>
        <w:tblStyle w:val="ab"/>
        <w:tblW w:w="82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5968"/>
        <w:gridCol w:w="1128"/>
      </w:tblGrid>
      <w:tr w:rsidR="001C1073" w14:paraId="0729E188" w14:textId="77777777">
        <w:trPr>
          <w:trHeight w:val="592"/>
          <w:jc w:val="center"/>
        </w:trPr>
        <w:tc>
          <w:tcPr>
            <w:tcW w:w="1121" w:type="dxa"/>
            <w:vAlign w:val="center"/>
          </w:tcPr>
          <w:p w14:paraId="66BA144C" w14:textId="77777777" w:rsidR="001C1073" w:rsidRDefault="001C1073" w:rsidP="008A5C75">
            <w:pPr>
              <w:spacing w:line="380" w:lineRule="exact"/>
              <w:jc w:val="center"/>
              <w:rPr>
                <w:szCs w:val="21"/>
              </w:rPr>
            </w:pPr>
          </w:p>
        </w:tc>
        <w:tc>
          <w:tcPr>
            <w:tcW w:w="5968" w:type="dxa"/>
            <w:vAlign w:val="center"/>
          </w:tcPr>
          <w:p w14:paraId="0BA9A378" w14:textId="77777777" w:rsidR="001C1073" w:rsidRDefault="0003288C" w:rsidP="008A5C75">
            <w:pPr>
              <w:jc w:val="left"/>
            </w:pPr>
            <m:oMathPara>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4</m:t>
                    </m:r>
                  </m:sub>
                </m:sSub>
                <m:r>
                  <m:rPr>
                    <m:sty m:val="p"/>
                  </m:rPr>
                  <w:rPr>
                    <w:rFonts w:ascii="Cambria Math" w:hAnsi="Cambria Math"/>
                  </w:rPr>
                  <m:t>=0.01649</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kgCO</m:t>
                        </m:r>
                      </m:e>
                      <m:sub>
                        <m:r>
                          <m:rPr>
                            <m:sty m:val="p"/>
                          </m:rPr>
                          <w:rPr>
                            <w:rFonts w:ascii="Cambria Math" w:hAnsi="Cambria Math"/>
                          </w:rPr>
                          <m:t>2</m:t>
                        </m:r>
                      </m:sub>
                    </m:sSub>
                  </m:num>
                  <m:den>
                    <m:r>
                      <m:rPr>
                        <m:sty m:val="p"/>
                      </m:rPr>
                      <w:rPr>
                        <w:rFonts w:ascii="Cambria Math" w:hAnsi="Cambria Math"/>
                      </w:rPr>
                      <m:t>kg</m:t>
                    </m:r>
                  </m:den>
                </m:f>
                <m:r>
                  <m:rPr>
                    <m:sty m:val="p"/>
                  </m:rPr>
                  <w:rPr>
                    <w:rFonts w:ascii="Cambria Math" w:hAnsi="Cambria Math"/>
                  </w:rPr>
                  <m:t>×0.3333kg=0.0055</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kgCO</m:t>
                        </m:r>
                      </m:e>
                      <m:sub>
                        <m:r>
                          <m:rPr>
                            <m:sty m:val="p"/>
                          </m:rPr>
                          <w:rPr>
                            <w:rFonts w:ascii="Cambria Math" w:hAnsi="Cambria Math"/>
                          </w:rPr>
                          <m:t>2</m:t>
                        </m:r>
                      </m:sub>
                    </m:sSub>
                  </m:num>
                  <m:den>
                    <m:r>
                      <m:rPr>
                        <m:sty m:val="p"/>
                      </m:rPr>
                      <w:rPr>
                        <w:rFonts w:ascii="Cambria Math" w:hAnsi="Cambria Math"/>
                      </w:rPr>
                      <m:t>kg</m:t>
                    </m:r>
                  </m:den>
                </m:f>
              </m:oMath>
            </m:oMathPara>
          </w:p>
        </w:tc>
        <w:tc>
          <w:tcPr>
            <w:tcW w:w="1128" w:type="dxa"/>
            <w:vAlign w:val="center"/>
          </w:tcPr>
          <w:p w14:paraId="05F0EFBD" w14:textId="77777777" w:rsidR="001C1073" w:rsidRDefault="005039FA">
            <w:pPr>
              <w:spacing w:line="380" w:lineRule="exact"/>
              <w:jc w:val="right"/>
              <w:rPr>
                <w:szCs w:val="21"/>
              </w:rPr>
            </w:pPr>
            <w:r>
              <w:rPr>
                <w:szCs w:val="21"/>
              </w:rPr>
              <w:t>（</w:t>
            </w:r>
            <w:r>
              <w:rPr>
                <w:szCs w:val="21"/>
              </w:rPr>
              <w:t>4</w:t>
            </w:r>
            <w:r>
              <w:rPr>
                <w:szCs w:val="21"/>
              </w:rPr>
              <w:t>）</w:t>
            </w:r>
          </w:p>
        </w:tc>
      </w:tr>
    </w:tbl>
    <w:p w14:paraId="6CBDD6E6" w14:textId="77777777" w:rsidR="004C17CB" w:rsidRPr="004C17CB" w:rsidRDefault="004C17CB" w:rsidP="0007250F">
      <w:pPr>
        <w:spacing w:line="380" w:lineRule="exact"/>
        <w:ind w:firstLineChars="200" w:firstLine="420"/>
        <w:jc w:val="left"/>
      </w:pPr>
      <w:r>
        <w:rPr>
          <w:rFonts w:hint="eastAsia"/>
        </w:rPr>
        <w:t>生产阶段碳足迹总和计算参见式（</w:t>
      </w:r>
      <w:r>
        <w:rPr>
          <w:rFonts w:hint="eastAsia"/>
        </w:rPr>
        <w:t>5</w:t>
      </w:r>
      <w:r>
        <w:rPr>
          <w:rFonts w:hint="eastAsia"/>
        </w:rPr>
        <w:t>）。</w:t>
      </w:r>
    </w:p>
    <w:tbl>
      <w:tblPr>
        <w:tblStyle w:val="ab"/>
        <w:tblW w:w="82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
        <w:gridCol w:w="5968"/>
        <w:gridCol w:w="1128"/>
      </w:tblGrid>
      <w:tr w:rsidR="004C17CB" w14:paraId="4E5D5DD2" w14:textId="77777777" w:rsidTr="00F65069">
        <w:trPr>
          <w:trHeight w:val="592"/>
          <w:jc w:val="center"/>
        </w:trPr>
        <w:tc>
          <w:tcPr>
            <w:tcW w:w="1121" w:type="dxa"/>
            <w:vAlign w:val="center"/>
          </w:tcPr>
          <w:p w14:paraId="49EA341C" w14:textId="77777777" w:rsidR="004C17CB" w:rsidRDefault="004C17CB" w:rsidP="008A5C75">
            <w:pPr>
              <w:spacing w:line="380" w:lineRule="exact"/>
              <w:jc w:val="center"/>
              <w:rPr>
                <w:szCs w:val="21"/>
              </w:rPr>
            </w:pPr>
          </w:p>
        </w:tc>
        <w:tc>
          <w:tcPr>
            <w:tcW w:w="5968" w:type="dxa"/>
            <w:vAlign w:val="center"/>
          </w:tcPr>
          <w:p w14:paraId="38DDE812" w14:textId="4D6DD59C" w:rsidR="004C17CB" w:rsidRDefault="0003288C" w:rsidP="00297BC1">
            <w:pPr>
              <w:jc w:val="left"/>
            </w:pPr>
            <m:oMathPara>
              <m:oMath>
                <m:sSub>
                  <m:sSubPr>
                    <m:ctrlPr>
                      <w:rPr>
                        <w:rFonts w:ascii="Cambria Math" w:hAnsi="Cambria Math"/>
                      </w:rPr>
                    </m:ctrlPr>
                  </m:sSubPr>
                  <m:e>
                    <m:r>
                      <m:rPr>
                        <m:sty m:val="p"/>
                      </m:rPr>
                      <w:rPr>
                        <w:rFonts w:ascii="Cambria Math" w:hAnsi="Cambria Math"/>
                      </w:rPr>
                      <m:t>M</m:t>
                    </m:r>
                  </m:e>
                  <m:sub>
                    <m:r>
                      <m:rPr>
                        <m:sty m:val="p"/>
                      </m:rPr>
                      <w:rPr>
                        <w:rFonts w:ascii="Cambria Math" w:hAnsi="Cambria Math" w:hint="eastAsia"/>
                      </w:rPr>
                      <m:t>生产阶段</m:t>
                    </m:r>
                  </m:sub>
                </m:sSub>
                <m:r>
                  <m:rPr>
                    <m:sty m:val="p"/>
                  </m:rPr>
                  <w:rPr>
                    <w:rFonts w:ascii="Cambria Math" w:hAnsi="Cambria Math"/>
                  </w:rPr>
                  <m:t>=</m:t>
                </m:r>
                <m:f>
                  <m:fPr>
                    <m:ctrlPr>
                      <w:rPr>
                        <w:rFonts w:ascii="Cambria Math" w:hAnsi="Cambria Math"/>
                      </w:rPr>
                    </m:ctrlPr>
                  </m:fPr>
                  <m:num>
                    <m:r>
                      <w:rPr>
                        <w:rFonts w:ascii="Cambria Math" w:hAnsi="Cambria Math"/>
                      </w:rPr>
                      <m:t>24</m:t>
                    </m:r>
                  </m:num>
                  <m:den>
                    <m:r>
                      <w:rPr>
                        <w:rFonts w:ascii="Cambria Math" w:hAnsi="Cambria Math"/>
                      </w:rPr>
                      <m:t>25</m:t>
                    </m:r>
                  </m:den>
                </m:f>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M</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4</m:t>
                    </m:r>
                  </m:sub>
                </m:sSub>
                <m:r>
                  <m:rPr>
                    <m:sty m:val="p"/>
                  </m:rPr>
                  <w:rPr>
                    <w:rFonts w:ascii="Cambria Math" w:hAnsi="Cambria Math"/>
                  </w:rPr>
                  <m:t>=1.0512</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kgCO</m:t>
                        </m:r>
                      </m:e>
                      <m:sub>
                        <m:r>
                          <m:rPr>
                            <m:sty m:val="p"/>
                          </m:rPr>
                          <w:rPr>
                            <w:rFonts w:ascii="Cambria Math" w:hAnsi="Cambria Math"/>
                          </w:rPr>
                          <m:t>2</m:t>
                        </m:r>
                      </m:sub>
                    </m:sSub>
                  </m:num>
                  <m:den>
                    <m:r>
                      <m:rPr>
                        <m:sty m:val="p"/>
                      </m:rPr>
                      <w:rPr>
                        <w:rFonts w:ascii="Cambria Math" w:hAnsi="Cambria Math"/>
                      </w:rPr>
                      <m:t>kg</m:t>
                    </m:r>
                  </m:den>
                </m:f>
              </m:oMath>
            </m:oMathPara>
          </w:p>
        </w:tc>
        <w:tc>
          <w:tcPr>
            <w:tcW w:w="1128" w:type="dxa"/>
            <w:vAlign w:val="center"/>
          </w:tcPr>
          <w:p w14:paraId="341CC279" w14:textId="77777777" w:rsidR="004C17CB" w:rsidRDefault="004C17CB" w:rsidP="008A5C75">
            <w:pPr>
              <w:spacing w:line="380" w:lineRule="exact"/>
              <w:jc w:val="right"/>
              <w:rPr>
                <w:szCs w:val="21"/>
              </w:rPr>
            </w:pPr>
            <w:r>
              <w:rPr>
                <w:szCs w:val="21"/>
              </w:rPr>
              <w:t>（</w:t>
            </w:r>
            <w:r>
              <w:rPr>
                <w:szCs w:val="21"/>
              </w:rPr>
              <w:t>5</w:t>
            </w:r>
            <w:r>
              <w:rPr>
                <w:szCs w:val="21"/>
              </w:rPr>
              <w:t>）</w:t>
            </w:r>
          </w:p>
        </w:tc>
      </w:tr>
    </w:tbl>
    <w:p w14:paraId="6EE50E2A" w14:textId="77777777" w:rsidR="001C1073" w:rsidRDefault="005039FA" w:rsidP="0007250F">
      <w:pPr>
        <w:spacing w:line="380" w:lineRule="exact"/>
        <w:ind w:firstLineChars="200" w:firstLine="420"/>
        <w:jc w:val="left"/>
      </w:pPr>
      <w:r>
        <w:rPr>
          <w:rFonts w:hint="eastAsia"/>
        </w:rPr>
        <w:t>根据数据质量评价体系，对香榧油产品碳足迹评估进行数据质量评价，结果参见表</w:t>
      </w:r>
      <w:r>
        <w:rPr>
          <w:rFonts w:hint="eastAsia"/>
        </w:rPr>
        <w:t>4.2</w:t>
      </w:r>
      <w:r>
        <w:t>。</w:t>
      </w:r>
    </w:p>
    <w:p w14:paraId="645D4908" w14:textId="77777777" w:rsidR="001C1073" w:rsidRDefault="005039FA" w:rsidP="008A5C75">
      <w:pPr>
        <w:spacing w:line="380" w:lineRule="exact"/>
        <w:ind w:firstLineChars="200" w:firstLine="420"/>
        <w:jc w:val="center"/>
      </w:pPr>
      <w:r>
        <w:rPr>
          <w:rFonts w:ascii="黑体" w:eastAsia="黑体" w:hAnsi="黑体" w:cs="黑体" w:hint="eastAsia"/>
        </w:rPr>
        <w:t>表4.2 香榧油产品碳足迹评估数据质量评价表</w:t>
      </w:r>
    </w:p>
    <w:tbl>
      <w:tblPr>
        <w:tblStyle w:val="ab"/>
        <w:tblW w:w="6970"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93"/>
        <w:gridCol w:w="979"/>
        <w:gridCol w:w="980"/>
        <w:gridCol w:w="979"/>
        <w:gridCol w:w="980"/>
        <w:gridCol w:w="979"/>
        <w:gridCol w:w="980"/>
      </w:tblGrid>
      <w:tr w:rsidR="001C1073" w14:paraId="63FD7B1D" w14:textId="77777777" w:rsidTr="009A489E">
        <w:trPr>
          <w:jc w:val="center"/>
        </w:trPr>
        <w:tc>
          <w:tcPr>
            <w:tcW w:w="1093" w:type="dxa"/>
            <w:vMerge w:val="restart"/>
            <w:tcBorders>
              <w:tl2br w:val="nil"/>
              <w:tr2bl w:val="nil"/>
            </w:tcBorders>
            <w:vAlign w:val="center"/>
          </w:tcPr>
          <w:p w14:paraId="69C7A7C6" w14:textId="77777777" w:rsidR="001C1073" w:rsidRPr="009A489E" w:rsidRDefault="001C1073" w:rsidP="008A5C75">
            <w:pPr>
              <w:spacing w:line="380" w:lineRule="exact"/>
              <w:jc w:val="center"/>
              <w:rPr>
                <w:kern w:val="0"/>
                <w:sz w:val="18"/>
                <w:szCs w:val="18"/>
              </w:rPr>
            </w:pPr>
          </w:p>
        </w:tc>
        <w:tc>
          <w:tcPr>
            <w:tcW w:w="1959" w:type="dxa"/>
            <w:gridSpan w:val="2"/>
            <w:tcBorders>
              <w:tl2br w:val="nil"/>
              <w:tr2bl w:val="nil"/>
            </w:tcBorders>
            <w:vAlign w:val="center"/>
          </w:tcPr>
          <w:p w14:paraId="2B7C380A" w14:textId="77777777" w:rsidR="001C1073" w:rsidRPr="009A489E" w:rsidRDefault="005039FA">
            <w:pPr>
              <w:spacing w:line="380" w:lineRule="exact"/>
              <w:jc w:val="center"/>
              <w:rPr>
                <w:kern w:val="0"/>
                <w:sz w:val="18"/>
                <w:szCs w:val="18"/>
              </w:rPr>
            </w:pPr>
            <w:r w:rsidRPr="009A489E">
              <w:rPr>
                <w:rFonts w:hint="eastAsia"/>
                <w:kern w:val="0"/>
                <w:sz w:val="18"/>
                <w:szCs w:val="18"/>
              </w:rPr>
              <w:t>上游流程</w:t>
            </w:r>
          </w:p>
        </w:tc>
        <w:tc>
          <w:tcPr>
            <w:tcW w:w="1959" w:type="dxa"/>
            <w:gridSpan w:val="2"/>
            <w:tcBorders>
              <w:tl2br w:val="nil"/>
              <w:tr2bl w:val="nil"/>
            </w:tcBorders>
            <w:vAlign w:val="center"/>
          </w:tcPr>
          <w:p w14:paraId="577E9AB1" w14:textId="77777777" w:rsidR="001C1073" w:rsidRPr="009A489E" w:rsidRDefault="005039FA">
            <w:pPr>
              <w:spacing w:line="380" w:lineRule="exact"/>
              <w:jc w:val="center"/>
              <w:rPr>
                <w:kern w:val="0"/>
                <w:sz w:val="18"/>
                <w:szCs w:val="18"/>
              </w:rPr>
            </w:pPr>
            <w:r w:rsidRPr="009A489E">
              <w:rPr>
                <w:rFonts w:hint="eastAsia"/>
                <w:kern w:val="0"/>
                <w:sz w:val="18"/>
                <w:szCs w:val="18"/>
              </w:rPr>
              <w:t>核心流程</w:t>
            </w:r>
          </w:p>
        </w:tc>
        <w:tc>
          <w:tcPr>
            <w:tcW w:w="1959" w:type="dxa"/>
            <w:gridSpan w:val="2"/>
            <w:tcBorders>
              <w:tl2br w:val="nil"/>
              <w:tr2bl w:val="nil"/>
            </w:tcBorders>
            <w:vAlign w:val="center"/>
          </w:tcPr>
          <w:p w14:paraId="2F0167F2" w14:textId="77777777" w:rsidR="001C1073" w:rsidRPr="009A489E" w:rsidRDefault="005039FA">
            <w:pPr>
              <w:spacing w:line="380" w:lineRule="exact"/>
              <w:jc w:val="center"/>
              <w:rPr>
                <w:kern w:val="0"/>
                <w:sz w:val="18"/>
                <w:szCs w:val="18"/>
              </w:rPr>
            </w:pPr>
            <w:r w:rsidRPr="009A489E">
              <w:rPr>
                <w:rFonts w:hint="eastAsia"/>
                <w:kern w:val="0"/>
                <w:sz w:val="18"/>
                <w:szCs w:val="18"/>
              </w:rPr>
              <w:t>下游流程</w:t>
            </w:r>
          </w:p>
        </w:tc>
      </w:tr>
      <w:tr w:rsidR="001C1073" w14:paraId="6E83CE36" w14:textId="77777777" w:rsidTr="009A489E">
        <w:trPr>
          <w:jc w:val="center"/>
        </w:trPr>
        <w:tc>
          <w:tcPr>
            <w:tcW w:w="1093" w:type="dxa"/>
            <w:vMerge/>
            <w:tcBorders>
              <w:bottom w:val="single" w:sz="8" w:space="0" w:color="auto"/>
              <w:tl2br w:val="nil"/>
              <w:tr2bl w:val="nil"/>
            </w:tcBorders>
            <w:vAlign w:val="center"/>
          </w:tcPr>
          <w:p w14:paraId="0E68FD53" w14:textId="77777777" w:rsidR="001C1073" w:rsidRPr="009A489E" w:rsidRDefault="001C1073">
            <w:pPr>
              <w:spacing w:line="380" w:lineRule="exact"/>
              <w:jc w:val="center"/>
              <w:rPr>
                <w:kern w:val="0"/>
                <w:sz w:val="18"/>
                <w:szCs w:val="18"/>
              </w:rPr>
            </w:pPr>
          </w:p>
        </w:tc>
        <w:tc>
          <w:tcPr>
            <w:tcW w:w="979" w:type="dxa"/>
            <w:tcBorders>
              <w:bottom w:val="single" w:sz="8" w:space="0" w:color="auto"/>
              <w:tl2br w:val="nil"/>
              <w:tr2bl w:val="nil"/>
            </w:tcBorders>
            <w:vAlign w:val="center"/>
          </w:tcPr>
          <w:p w14:paraId="6CCB214E" w14:textId="77777777" w:rsidR="001C1073" w:rsidRPr="009A489E" w:rsidRDefault="005039FA">
            <w:pPr>
              <w:spacing w:line="380" w:lineRule="exact"/>
              <w:jc w:val="center"/>
              <w:rPr>
                <w:kern w:val="0"/>
                <w:sz w:val="18"/>
                <w:szCs w:val="18"/>
              </w:rPr>
            </w:pPr>
            <w:r w:rsidRPr="009A489E">
              <w:rPr>
                <w:rFonts w:hint="eastAsia"/>
                <w:kern w:val="0"/>
                <w:sz w:val="18"/>
                <w:szCs w:val="18"/>
              </w:rPr>
              <w:t>香榧</w:t>
            </w:r>
          </w:p>
          <w:p w14:paraId="47C9AA77" w14:textId="77777777" w:rsidR="001C1073" w:rsidRPr="009A489E" w:rsidRDefault="005039FA">
            <w:pPr>
              <w:spacing w:line="380" w:lineRule="exact"/>
              <w:jc w:val="center"/>
              <w:rPr>
                <w:kern w:val="0"/>
                <w:sz w:val="18"/>
                <w:szCs w:val="18"/>
              </w:rPr>
            </w:pPr>
            <w:r w:rsidRPr="009A489E">
              <w:rPr>
                <w:rFonts w:hint="eastAsia"/>
                <w:kern w:val="0"/>
                <w:sz w:val="18"/>
                <w:szCs w:val="18"/>
              </w:rPr>
              <w:t>生产</w:t>
            </w:r>
          </w:p>
        </w:tc>
        <w:tc>
          <w:tcPr>
            <w:tcW w:w="980" w:type="dxa"/>
            <w:tcBorders>
              <w:bottom w:val="single" w:sz="8" w:space="0" w:color="auto"/>
              <w:tl2br w:val="nil"/>
              <w:tr2bl w:val="nil"/>
            </w:tcBorders>
            <w:vAlign w:val="center"/>
          </w:tcPr>
          <w:p w14:paraId="1E9D7E42" w14:textId="77777777" w:rsidR="001C1073" w:rsidRPr="009A489E" w:rsidRDefault="005039FA">
            <w:pPr>
              <w:spacing w:line="380" w:lineRule="exact"/>
              <w:jc w:val="center"/>
              <w:rPr>
                <w:kern w:val="0"/>
                <w:sz w:val="18"/>
                <w:szCs w:val="18"/>
              </w:rPr>
            </w:pPr>
            <w:r w:rsidRPr="009A489E">
              <w:rPr>
                <w:rFonts w:hint="eastAsia"/>
                <w:kern w:val="0"/>
                <w:sz w:val="18"/>
                <w:szCs w:val="18"/>
              </w:rPr>
              <w:t>包装材料生产</w:t>
            </w:r>
          </w:p>
        </w:tc>
        <w:tc>
          <w:tcPr>
            <w:tcW w:w="979" w:type="dxa"/>
            <w:tcBorders>
              <w:bottom w:val="single" w:sz="8" w:space="0" w:color="auto"/>
              <w:tl2br w:val="nil"/>
              <w:tr2bl w:val="nil"/>
            </w:tcBorders>
            <w:vAlign w:val="center"/>
          </w:tcPr>
          <w:p w14:paraId="1B017A74" w14:textId="77777777" w:rsidR="001C1073" w:rsidRPr="009A489E" w:rsidRDefault="005039FA">
            <w:pPr>
              <w:spacing w:line="380" w:lineRule="exact"/>
              <w:jc w:val="center"/>
              <w:rPr>
                <w:kern w:val="0"/>
                <w:sz w:val="18"/>
                <w:szCs w:val="18"/>
              </w:rPr>
            </w:pPr>
            <w:r w:rsidRPr="009A489E">
              <w:rPr>
                <w:rFonts w:hint="eastAsia"/>
                <w:kern w:val="0"/>
                <w:sz w:val="18"/>
                <w:szCs w:val="18"/>
              </w:rPr>
              <w:t>生产</w:t>
            </w:r>
          </w:p>
          <w:p w14:paraId="22C36AC4" w14:textId="77777777" w:rsidR="001C1073" w:rsidRPr="009A489E" w:rsidRDefault="005039FA">
            <w:pPr>
              <w:spacing w:line="380" w:lineRule="exact"/>
              <w:jc w:val="center"/>
              <w:rPr>
                <w:kern w:val="0"/>
                <w:sz w:val="18"/>
                <w:szCs w:val="18"/>
              </w:rPr>
            </w:pPr>
            <w:r w:rsidRPr="009A489E">
              <w:rPr>
                <w:rFonts w:hint="eastAsia"/>
                <w:kern w:val="0"/>
                <w:sz w:val="18"/>
                <w:szCs w:val="18"/>
              </w:rPr>
              <w:t>阶段</w:t>
            </w:r>
          </w:p>
        </w:tc>
        <w:tc>
          <w:tcPr>
            <w:tcW w:w="980" w:type="dxa"/>
            <w:tcBorders>
              <w:bottom w:val="single" w:sz="8" w:space="0" w:color="auto"/>
              <w:tl2br w:val="nil"/>
              <w:tr2bl w:val="nil"/>
            </w:tcBorders>
            <w:vAlign w:val="center"/>
          </w:tcPr>
          <w:p w14:paraId="3DE3A4A4" w14:textId="77777777" w:rsidR="001C1073" w:rsidRPr="009A489E" w:rsidRDefault="005039FA">
            <w:pPr>
              <w:spacing w:line="380" w:lineRule="exact"/>
              <w:jc w:val="center"/>
              <w:rPr>
                <w:kern w:val="0"/>
                <w:sz w:val="18"/>
                <w:szCs w:val="18"/>
              </w:rPr>
            </w:pPr>
            <w:r w:rsidRPr="009A489E">
              <w:rPr>
                <w:rFonts w:hint="eastAsia"/>
                <w:kern w:val="0"/>
                <w:sz w:val="18"/>
                <w:szCs w:val="18"/>
              </w:rPr>
              <w:t>包装</w:t>
            </w:r>
          </w:p>
          <w:p w14:paraId="612FED56" w14:textId="77777777" w:rsidR="001C1073" w:rsidRPr="009A489E" w:rsidRDefault="005039FA">
            <w:pPr>
              <w:spacing w:line="380" w:lineRule="exact"/>
              <w:jc w:val="center"/>
              <w:rPr>
                <w:kern w:val="0"/>
                <w:sz w:val="18"/>
                <w:szCs w:val="18"/>
              </w:rPr>
            </w:pPr>
            <w:r w:rsidRPr="009A489E">
              <w:rPr>
                <w:rFonts w:hint="eastAsia"/>
                <w:kern w:val="0"/>
                <w:sz w:val="18"/>
                <w:szCs w:val="18"/>
              </w:rPr>
              <w:t>阶段</w:t>
            </w:r>
          </w:p>
        </w:tc>
        <w:tc>
          <w:tcPr>
            <w:tcW w:w="979" w:type="dxa"/>
            <w:tcBorders>
              <w:bottom w:val="single" w:sz="8" w:space="0" w:color="auto"/>
              <w:tl2br w:val="nil"/>
              <w:tr2bl w:val="nil"/>
            </w:tcBorders>
            <w:vAlign w:val="center"/>
          </w:tcPr>
          <w:p w14:paraId="06B0DA35" w14:textId="77777777" w:rsidR="001C1073" w:rsidRPr="009A489E" w:rsidRDefault="005039FA">
            <w:pPr>
              <w:spacing w:line="380" w:lineRule="exact"/>
              <w:jc w:val="center"/>
              <w:rPr>
                <w:kern w:val="0"/>
                <w:sz w:val="18"/>
                <w:szCs w:val="18"/>
              </w:rPr>
            </w:pPr>
            <w:r w:rsidRPr="009A489E">
              <w:rPr>
                <w:rFonts w:hint="eastAsia"/>
                <w:kern w:val="0"/>
                <w:sz w:val="18"/>
                <w:szCs w:val="18"/>
              </w:rPr>
              <w:t>产品</w:t>
            </w:r>
          </w:p>
          <w:p w14:paraId="49AFCE30" w14:textId="77777777" w:rsidR="001C1073" w:rsidRPr="009A489E" w:rsidRDefault="005039FA">
            <w:pPr>
              <w:spacing w:line="380" w:lineRule="exact"/>
              <w:jc w:val="center"/>
              <w:rPr>
                <w:kern w:val="0"/>
                <w:sz w:val="18"/>
                <w:szCs w:val="18"/>
              </w:rPr>
            </w:pPr>
            <w:r w:rsidRPr="009A489E">
              <w:rPr>
                <w:rFonts w:hint="eastAsia"/>
                <w:kern w:val="0"/>
                <w:sz w:val="18"/>
                <w:szCs w:val="18"/>
              </w:rPr>
              <w:t>运输</w:t>
            </w:r>
          </w:p>
        </w:tc>
        <w:tc>
          <w:tcPr>
            <w:tcW w:w="980" w:type="dxa"/>
            <w:tcBorders>
              <w:bottom w:val="single" w:sz="8" w:space="0" w:color="auto"/>
              <w:tl2br w:val="nil"/>
              <w:tr2bl w:val="nil"/>
            </w:tcBorders>
            <w:vAlign w:val="center"/>
          </w:tcPr>
          <w:p w14:paraId="7885E458" w14:textId="77777777" w:rsidR="001C1073" w:rsidRPr="009A489E" w:rsidRDefault="005039FA">
            <w:pPr>
              <w:spacing w:line="380" w:lineRule="exact"/>
              <w:jc w:val="center"/>
              <w:rPr>
                <w:kern w:val="0"/>
                <w:sz w:val="18"/>
                <w:szCs w:val="18"/>
              </w:rPr>
            </w:pPr>
            <w:r w:rsidRPr="009A489E">
              <w:rPr>
                <w:rFonts w:hint="eastAsia"/>
                <w:kern w:val="0"/>
                <w:sz w:val="18"/>
                <w:szCs w:val="18"/>
              </w:rPr>
              <w:t>包装</w:t>
            </w:r>
          </w:p>
          <w:p w14:paraId="43960D2A" w14:textId="77777777" w:rsidR="001C1073" w:rsidRPr="009A489E" w:rsidRDefault="005039FA">
            <w:pPr>
              <w:spacing w:line="380" w:lineRule="exact"/>
              <w:jc w:val="center"/>
              <w:rPr>
                <w:kern w:val="0"/>
                <w:sz w:val="18"/>
                <w:szCs w:val="18"/>
              </w:rPr>
            </w:pPr>
            <w:r w:rsidRPr="009A489E">
              <w:rPr>
                <w:rFonts w:hint="eastAsia"/>
                <w:kern w:val="0"/>
                <w:sz w:val="18"/>
                <w:szCs w:val="18"/>
              </w:rPr>
              <w:t>废弃</w:t>
            </w:r>
          </w:p>
        </w:tc>
      </w:tr>
      <w:tr w:rsidR="001C1073" w14:paraId="394ABD51" w14:textId="77777777" w:rsidTr="009A489E">
        <w:trPr>
          <w:jc w:val="center"/>
        </w:trPr>
        <w:tc>
          <w:tcPr>
            <w:tcW w:w="1093" w:type="dxa"/>
            <w:tcBorders>
              <w:top w:val="single" w:sz="8" w:space="0" w:color="auto"/>
            </w:tcBorders>
            <w:vAlign w:val="center"/>
          </w:tcPr>
          <w:p w14:paraId="518AD22C" w14:textId="77777777" w:rsidR="001C1073" w:rsidRPr="009A489E" w:rsidRDefault="005039FA" w:rsidP="0007250F">
            <w:pPr>
              <w:spacing w:line="380" w:lineRule="exact"/>
              <w:jc w:val="center"/>
              <w:rPr>
                <w:kern w:val="0"/>
                <w:sz w:val="18"/>
                <w:szCs w:val="18"/>
              </w:rPr>
            </w:pPr>
            <w:r w:rsidRPr="009A489E">
              <w:rPr>
                <w:rFonts w:hint="eastAsia"/>
                <w:kern w:val="0"/>
                <w:sz w:val="18"/>
                <w:szCs w:val="18"/>
              </w:rPr>
              <w:t>数据质量</w:t>
            </w:r>
          </w:p>
        </w:tc>
        <w:tc>
          <w:tcPr>
            <w:tcW w:w="979" w:type="dxa"/>
            <w:tcBorders>
              <w:top w:val="single" w:sz="8" w:space="0" w:color="auto"/>
            </w:tcBorders>
            <w:vAlign w:val="center"/>
          </w:tcPr>
          <w:p w14:paraId="55ADB2D5" w14:textId="09A8AEB2" w:rsidR="001C1073" w:rsidRPr="009A489E" w:rsidRDefault="005039FA" w:rsidP="008A5C75">
            <w:pPr>
              <w:spacing w:line="380" w:lineRule="exact"/>
              <w:jc w:val="center"/>
              <w:rPr>
                <w:kern w:val="0"/>
                <w:sz w:val="18"/>
                <w:szCs w:val="18"/>
              </w:rPr>
            </w:pPr>
            <w:r w:rsidRPr="009A489E">
              <w:rPr>
                <w:kern w:val="0"/>
                <w:sz w:val="18"/>
                <w:szCs w:val="18"/>
              </w:rPr>
              <w:t>3.</w:t>
            </w:r>
            <w:r w:rsidR="00D26F90">
              <w:rPr>
                <w:kern w:val="0"/>
                <w:sz w:val="18"/>
                <w:szCs w:val="18"/>
              </w:rPr>
              <w:t>6</w:t>
            </w:r>
          </w:p>
        </w:tc>
        <w:tc>
          <w:tcPr>
            <w:tcW w:w="980" w:type="dxa"/>
            <w:tcBorders>
              <w:top w:val="single" w:sz="8" w:space="0" w:color="auto"/>
            </w:tcBorders>
            <w:vAlign w:val="center"/>
          </w:tcPr>
          <w:p w14:paraId="03B26ED9" w14:textId="2742A128" w:rsidR="001C1073" w:rsidRPr="009A489E" w:rsidRDefault="005039FA" w:rsidP="008A5C75">
            <w:pPr>
              <w:spacing w:line="380" w:lineRule="exact"/>
              <w:jc w:val="center"/>
              <w:rPr>
                <w:kern w:val="0"/>
                <w:sz w:val="18"/>
                <w:szCs w:val="18"/>
              </w:rPr>
            </w:pPr>
            <w:r w:rsidRPr="009A489E">
              <w:rPr>
                <w:kern w:val="0"/>
                <w:sz w:val="18"/>
                <w:szCs w:val="18"/>
              </w:rPr>
              <w:t>4.0</w:t>
            </w:r>
          </w:p>
        </w:tc>
        <w:tc>
          <w:tcPr>
            <w:tcW w:w="979" w:type="dxa"/>
            <w:tcBorders>
              <w:top w:val="single" w:sz="8" w:space="0" w:color="auto"/>
            </w:tcBorders>
            <w:vAlign w:val="center"/>
          </w:tcPr>
          <w:p w14:paraId="6F5329A9" w14:textId="5D3FD111" w:rsidR="001C1073" w:rsidRPr="009A489E" w:rsidRDefault="00D26F90">
            <w:pPr>
              <w:spacing w:line="380" w:lineRule="exact"/>
              <w:jc w:val="center"/>
              <w:rPr>
                <w:kern w:val="0"/>
                <w:sz w:val="18"/>
                <w:szCs w:val="18"/>
              </w:rPr>
            </w:pPr>
            <w:r>
              <w:rPr>
                <w:kern w:val="0"/>
                <w:sz w:val="18"/>
                <w:szCs w:val="18"/>
              </w:rPr>
              <w:t>4.0</w:t>
            </w:r>
          </w:p>
        </w:tc>
        <w:tc>
          <w:tcPr>
            <w:tcW w:w="980" w:type="dxa"/>
            <w:tcBorders>
              <w:top w:val="single" w:sz="8" w:space="0" w:color="auto"/>
            </w:tcBorders>
            <w:vAlign w:val="center"/>
          </w:tcPr>
          <w:p w14:paraId="64722663" w14:textId="7444581B" w:rsidR="001C1073" w:rsidRPr="009A489E" w:rsidRDefault="00D26F90">
            <w:pPr>
              <w:spacing w:line="380" w:lineRule="exact"/>
              <w:jc w:val="center"/>
              <w:rPr>
                <w:kern w:val="0"/>
                <w:sz w:val="18"/>
                <w:szCs w:val="18"/>
              </w:rPr>
            </w:pPr>
            <w:r>
              <w:rPr>
                <w:kern w:val="0"/>
                <w:sz w:val="18"/>
                <w:szCs w:val="18"/>
              </w:rPr>
              <w:t>4.0</w:t>
            </w:r>
          </w:p>
        </w:tc>
        <w:tc>
          <w:tcPr>
            <w:tcW w:w="979" w:type="dxa"/>
            <w:tcBorders>
              <w:top w:val="single" w:sz="8" w:space="0" w:color="auto"/>
            </w:tcBorders>
            <w:vAlign w:val="center"/>
          </w:tcPr>
          <w:p w14:paraId="0A3796AF" w14:textId="7CF50954" w:rsidR="001C1073" w:rsidRPr="009A489E" w:rsidRDefault="005039FA">
            <w:pPr>
              <w:spacing w:line="380" w:lineRule="exact"/>
              <w:jc w:val="center"/>
              <w:rPr>
                <w:kern w:val="0"/>
                <w:sz w:val="18"/>
                <w:szCs w:val="18"/>
              </w:rPr>
            </w:pPr>
            <w:r w:rsidRPr="009A489E">
              <w:rPr>
                <w:kern w:val="0"/>
                <w:sz w:val="18"/>
                <w:szCs w:val="18"/>
              </w:rPr>
              <w:t>3.</w:t>
            </w:r>
            <w:r w:rsidR="00D26F90">
              <w:rPr>
                <w:kern w:val="0"/>
                <w:sz w:val="18"/>
                <w:szCs w:val="18"/>
              </w:rPr>
              <w:t>7</w:t>
            </w:r>
          </w:p>
        </w:tc>
        <w:tc>
          <w:tcPr>
            <w:tcW w:w="980" w:type="dxa"/>
            <w:tcBorders>
              <w:top w:val="single" w:sz="8" w:space="0" w:color="auto"/>
            </w:tcBorders>
            <w:vAlign w:val="center"/>
          </w:tcPr>
          <w:p w14:paraId="119C6E93" w14:textId="5F73CFBA" w:rsidR="001C1073" w:rsidRPr="009A489E" w:rsidRDefault="005039FA">
            <w:pPr>
              <w:spacing w:line="380" w:lineRule="exact"/>
              <w:jc w:val="center"/>
              <w:rPr>
                <w:kern w:val="0"/>
                <w:sz w:val="18"/>
                <w:szCs w:val="18"/>
              </w:rPr>
            </w:pPr>
            <w:r w:rsidRPr="009A489E">
              <w:rPr>
                <w:kern w:val="0"/>
                <w:sz w:val="18"/>
                <w:szCs w:val="18"/>
              </w:rPr>
              <w:t>3.0</w:t>
            </w:r>
          </w:p>
        </w:tc>
      </w:tr>
    </w:tbl>
    <w:p w14:paraId="54973462" w14:textId="1D1D2CE6" w:rsidR="00AE2EC7" w:rsidRDefault="00AE2EC7" w:rsidP="00FD3A15">
      <w:pPr>
        <w:pStyle w:val="1"/>
        <w:spacing w:before="0" w:beforeAutospacing="0" w:after="0" w:afterAutospacing="0" w:line="380" w:lineRule="exact"/>
        <w:rPr>
          <w:rFonts w:ascii="黑体" w:eastAsia="黑体" w:hAnsi="黑体" w:cs="Arial"/>
          <w:b w:val="0"/>
          <w:sz w:val="21"/>
          <w:szCs w:val="21"/>
          <w:shd w:val="clear" w:color="auto" w:fill="FFFFFF"/>
        </w:rPr>
      </w:pPr>
      <w:r>
        <w:rPr>
          <w:rFonts w:ascii="黑体" w:eastAsia="黑体" w:hAnsi="黑体" w:cs="Arial" w:hint="eastAsia"/>
          <w:b w:val="0"/>
          <w:bCs w:val="0"/>
          <w:sz w:val="21"/>
          <w:szCs w:val="21"/>
          <w:shd w:val="clear" w:color="auto" w:fill="FFFFFF"/>
        </w:rPr>
        <w:t>2</w:t>
      </w:r>
      <w:r w:rsidRPr="00AD26B1">
        <w:rPr>
          <w:rFonts w:ascii="黑体" w:eastAsia="黑体" w:hAnsi="黑体" w:cs="Arial" w:hint="eastAsia"/>
          <w:b w:val="0"/>
          <w:sz w:val="21"/>
          <w:szCs w:val="21"/>
          <w:shd w:val="clear" w:color="auto" w:fill="FFFFFF"/>
        </w:rPr>
        <w:t xml:space="preserve"> </w:t>
      </w:r>
      <w:r>
        <w:rPr>
          <w:rFonts w:ascii="黑体" w:eastAsia="黑体" w:hAnsi="黑体" w:cs="Arial" w:hint="eastAsia"/>
          <w:b w:val="0"/>
          <w:bCs w:val="0"/>
          <w:sz w:val="21"/>
          <w:szCs w:val="21"/>
          <w:shd w:val="clear" w:color="auto" w:fill="FFFFFF"/>
        </w:rPr>
        <w:t>国外案例</w:t>
      </w:r>
    </w:p>
    <w:p w14:paraId="47C179A8" w14:textId="380D32C4" w:rsidR="0088594D" w:rsidRDefault="0088594D" w:rsidP="0007250F">
      <w:pPr>
        <w:spacing w:line="380" w:lineRule="exact"/>
        <w:ind w:firstLineChars="200" w:firstLine="420"/>
      </w:pPr>
      <w:r>
        <w:rPr>
          <w:rFonts w:hint="eastAsia"/>
        </w:rPr>
        <w:t>国外无香榧及香榧加工产品，在橄榄油等产品</w:t>
      </w:r>
      <w:r w:rsidR="00966D7E">
        <w:rPr>
          <w:rFonts w:hint="eastAsia"/>
        </w:rPr>
        <w:t>上有相关案例，橄榄油的生命周期范围与香榧油类似</w:t>
      </w:r>
      <w:r>
        <w:rPr>
          <w:rFonts w:hint="eastAsia"/>
        </w:rPr>
        <w:t>。</w:t>
      </w:r>
      <w:r w:rsidR="00AE2EC7">
        <w:rPr>
          <w:rFonts w:hint="eastAsia"/>
        </w:rPr>
        <w:t>根据产品种类规则</w:t>
      </w:r>
      <w:r w:rsidR="00AE2EC7">
        <w:t>PCR 2010:07 v.3.0. VIRGIN OLIVE OIL AND ITS</w:t>
      </w:r>
      <w:r>
        <w:t xml:space="preserve"> </w:t>
      </w:r>
      <w:r w:rsidR="00AE2EC7">
        <w:t>FRACTIONS - PRODUCT GROUP: UN CPC 21537</w:t>
      </w:r>
      <w:r>
        <w:t>，</w:t>
      </w:r>
      <w:r>
        <w:rPr>
          <w:rFonts w:hint="eastAsia"/>
        </w:rPr>
        <w:t>对</w:t>
      </w:r>
      <w:r>
        <w:rPr>
          <w:rFonts w:hint="eastAsia"/>
        </w:rPr>
        <w:t>BORGES</w:t>
      </w:r>
      <w:r>
        <w:rPr>
          <w:rFonts w:hint="eastAsia"/>
        </w:rPr>
        <w:t>公司的特级初榨橄榄油进行环境足迹评估，包括碳足迹评估。评估内容涵盖上游流程、核心流程、下游流程，</w:t>
      </w:r>
      <w:r w:rsidR="00966D7E">
        <w:rPr>
          <w:rFonts w:hint="eastAsia"/>
        </w:rPr>
        <w:t>报告</w:t>
      </w:r>
      <w:r>
        <w:rPr>
          <w:rFonts w:hint="eastAsia"/>
        </w:rPr>
        <w:t>进行了数据质量分析，并</w:t>
      </w:r>
      <w:r w:rsidR="00966D7E">
        <w:rPr>
          <w:rFonts w:hint="eastAsia"/>
        </w:rPr>
        <w:t>基于不同的功能单位（产品规格）</w:t>
      </w:r>
      <w:r>
        <w:rPr>
          <w:rFonts w:hint="eastAsia"/>
        </w:rPr>
        <w:t>给出了评估结果。</w:t>
      </w:r>
      <w:r w:rsidR="00D82462">
        <w:rPr>
          <w:rFonts w:hint="eastAsia"/>
        </w:rPr>
        <w:t>具体</w:t>
      </w:r>
      <w:r w:rsidR="00D85350">
        <w:rPr>
          <w:rFonts w:hint="eastAsia"/>
        </w:rPr>
        <w:t>评估</w:t>
      </w:r>
      <w:r w:rsidR="00D82462">
        <w:rPr>
          <w:rFonts w:hint="eastAsia"/>
        </w:rPr>
        <w:t>信息参照</w:t>
      </w:r>
      <w:r w:rsidR="00D82462">
        <w:rPr>
          <w:rFonts w:hint="eastAsia"/>
        </w:rPr>
        <w:t>EPD</w:t>
      </w:r>
      <w:r w:rsidR="00D82462">
        <w:rPr>
          <w:rFonts w:hint="eastAsia"/>
        </w:rPr>
        <w:t>注册号为</w:t>
      </w:r>
      <w:r w:rsidR="00D82462" w:rsidRPr="00D82462">
        <w:t>S</w:t>
      </w:r>
      <w:r w:rsidR="00D82462">
        <w:t>-</w:t>
      </w:r>
      <w:r w:rsidR="00D82462" w:rsidRPr="00D82462">
        <w:t>P</w:t>
      </w:r>
      <w:r w:rsidR="00D82462">
        <w:t>-</w:t>
      </w:r>
      <w:r w:rsidR="00D82462" w:rsidRPr="00D82462">
        <w:t>00924</w:t>
      </w:r>
      <w:r w:rsidR="00D82462">
        <w:rPr>
          <w:rFonts w:hint="eastAsia"/>
        </w:rPr>
        <w:t>的文件。</w:t>
      </w:r>
    </w:p>
    <w:p w14:paraId="6464FBA5" w14:textId="77777777" w:rsidR="0088594D" w:rsidRDefault="0088594D" w:rsidP="0007250F">
      <w:pPr>
        <w:spacing w:line="380" w:lineRule="exact"/>
        <w:ind w:firstLineChars="200" w:firstLine="420"/>
      </w:pPr>
      <w:r>
        <w:rPr>
          <w:rFonts w:hint="eastAsia"/>
        </w:rPr>
        <w:t>本文件碳足迹评估的</w:t>
      </w:r>
      <w:r w:rsidR="004C17CB">
        <w:rPr>
          <w:rFonts w:hint="eastAsia"/>
        </w:rPr>
        <w:t>生命周期</w:t>
      </w:r>
      <w:r>
        <w:rPr>
          <w:rFonts w:hint="eastAsia"/>
        </w:rPr>
        <w:t>评估方法学与该国外案例一致。</w:t>
      </w:r>
    </w:p>
    <w:p w14:paraId="1116CC13"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r>
        <w:rPr>
          <w:rFonts w:ascii="黑体" w:eastAsia="黑体" w:hAnsi="黑体" w:cs="Arial" w:hint="eastAsia"/>
          <w:b w:val="0"/>
          <w:sz w:val="21"/>
          <w:szCs w:val="21"/>
          <w:shd w:val="clear" w:color="auto" w:fill="FFFFFF"/>
        </w:rPr>
        <w:t>五</w:t>
      </w:r>
      <w:r w:rsidR="00FD5579">
        <w:rPr>
          <w:rFonts w:ascii="黑体" w:eastAsia="黑体" w:hAnsi="黑体" w:cs="Arial" w:hint="eastAsia"/>
          <w:b w:val="0"/>
          <w:sz w:val="21"/>
          <w:szCs w:val="21"/>
          <w:shd w:val="clear" w:color="auto" w:fill="FFFFFF"/>
        </w:rPr>
        <w:t>、</w:t>
      </w:r>
      <w:r>
        <w:rPr>
          <w:rFonts w:ascii="黑体" w:eastAsia="黑体" w:hAnsi="黑体" w:cs="Arial" w:hint="eastAsia"/>
          <w:b w:val="0"/>
          <w:sz w:val="21"/>
          <w:szCs w:val="21"/>
          <w:shd w:val="clear" w:color="auto" w:fill="FFFFFF"/>
        </w:rPr>
        <w:t>标准中涉及专利的情况</w:t>
      </w:r>
      <w:bookmarkEnd w:id="64"/>
    </w:p>
    <w:p w14:paraId="329FB44B" w14:textId="77777777" w:rsidR="001C1073" w:rsidRDefault="005039FA" w:rsidP="0007250F">
      <w:pPr>
        <w:pStyle w:val="a3"/>
        <w:snapToGrid w:val="0"/>
        <w:spacing w:before="0" w:beforeAutospacing="0" w:after="0" w:afterAutospacing="0" w:line="380" w:lineRule="exact"/>
        <w:ind w:firstLineChars="200" w:firstLine="420"/>
        <w:rPr>
          <w:rFonts w:ascii="宋体" w:eastAsia="宋体" w:hAnsi="宋体"/>
          <w:szCs w:val="21"/>
        </w:rPr>
      </w:pPr>
      <w:r>
        <w:rPr>
          <w:rFonts w:ascii="宋体" w:eastAsia="宋体" w:hAnsi="宋体" w:cs="Times New Roman" w:hint="eastAsia"/>
          <w:sz w:val="21"/>
          <w:szCs w:val="21"/>
        </w:rPr>
        <w:t>本文件中不涉及专利。</w:t>
      </w:r>
    </w:p>
    <w:p w14:paraId="33D46E59"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bookmarkStart w:id="65" w:name="_Toc2935819"/>
      <w:bookmarkStart w:id="66" w:name="_Toc2935718"/>
      <w:bookmarkStart w:id="67" w:name="_Toc100560692"/>
      <w:bookmarkStart w:id="68" w:name="_Toc2936064"/>
      <w:bookmarkStart w:id="69" w:name="_Toc41998712"/>
      <w:bookmarkStart w:id="70" w:name="_Toc97638659"/>
      <w:r>
        <w:rPr>
          <w:rFonts w:ascii="黑体" w:eastAsia="黑体" w:hAnsi="黑体" w:cs="Arial" w:hint="eastAsia"/>
          <w:b w:val="0"/>
          <w:sz w:val="21"/>
          <w:szCs w:val="21"/>
          <w:shd w:val="clear" w:color="auto" w:fill="FFFFFF"/>
        </w:rPr>
        <w:t>六</w:t>
      </w:r>
      <w:r w:rsidR="00FD5579">
        <w:rPr>
          <w:rFonts w:ascii="黑体" w:eastAsia="黑体" w:hAnsi="黑体" w:cs="Arial" w:hint="eastAsia"/>
          <w:b w:val="0"/>
          <w:sz w:val="21"/>
          <w:szCs w:val="21"/>
          <w:shd w:val="clear" w:color="auto" w:fill="FFFFFF"/>
        </w:rPr>
        <w:t>、</w:t>
      </w:r>
      <w:r>
        <w:rPr>
          <w:rFonts w:ascii="黑体" w:eastAsia="黑体" w:hAnsi="黑体" w:cs="Arial" w:hint="eastAsia"/>
          <w:b w:val="0"/>
          <w:sz w:val="21"/>
          <w:szCs w:val="21"/>
          <w:shd w:val="clear" w:color="auto" w:fill="FFFFFF"/>
        </w:rPr>
        <w:t>预期达到的社会效益、对产业发展的作用等情况</w:t>
      </w:r>
      <w:bookmarkEnd w:id="65"/>
      <w:bookmarkEnd w:id="66"/>
      <w:bookmarkEnd w:id="67"/>
      <w:bookmarkEnd w:id="68"/>
      <w:bookmarkEnd w:id="69"/>
      <w:bookmarkEnd w:id="70"/>
    </w:p>
    <w:p w14:paraId="779A22A5" w14:textId="77777777" w:rsidR="001C1073" w:rsidRDefault="005039FA" w:rsidP="0007250F">
      <w:pPr>
        <w:pStyle w:val="a3"/>
        <w:snapToGrid w:val="0"/>
        <w:spacing w:before="0" w:beforeAutospacing="0" w:after="0" w:afterAutospacing="0" w:line="380" w:lineRule="exact"/>
        <w:ind w:firstLineChars="200" w:firstLine="420"/>
        <w:jc w:val="both"/>
        <w:rPr>
          <w:rFonts w:ascii="宋体" w:eastAsia="宋体" w:hAnsi="宋体" w:cs="Times New Roman"/>
          <w:sz w:val="21"/>
          <w:szCs w:val="21"/>
        </w:rPr>
      </w:pPr>
      <w:r>
        <w:rPr>
          <w:rFonts w:ascii="宋体" w:eastAsia="宋体" w:hAnsi="宋体" w:cs="Times New Roman" w:hint="eastAsia"/>
          <w:sz w:val="21"/>
          <w:szCs w:val="21"/>
        </w:rPr>
        <w:t>本文件可为香榧与香榧加工产品提供标准化的碳足迹评估指南，增加相关企业碳足迹评估的准确性，并未企业碳减排提供数据支撑。同时</w:t>
      </w:r>
      <w:r>
        <w:rPr>
          <w:rFonts w:ascii="宋体" w:eastAsia="宋体" w:hAnsi="宋体" w:cs="Times New Roman"/>
          <w:sz w:val="21"/>
          <w:szCs w:val="21"/>
        </w:rPr>
        <w:t>，</w:t>
      </w:r>
      <w:r>
        <w:rPr>
          <w:rFonts w:ascii="宋体" w:eastAsia="宋体" w:hAnsi="宋体" w:cs="Times New Roman" w:hint="eastAsia"/>
          <w:sz w:val="21"/>
          <w:szCs w:val="21"/>
        </w:rPr>
        <w:t>本文件可成为碳足迹领域在农业及农产品加工行业的有效实践，可推动相关领域碳足迹评估方法学的标准化工作。</w:t>
      </w:r>
    </w:p>
    <w:p w14:paraId="6F301DBB"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bookmarkStart w:id="71" w:name="_Toc41998713"/>
      <w:bookmarkStart w:id="72" w:name="_Toc2935820"/>
      <w:bookmarkStart w:id="73" w:name="_Toc2936065"/>
      <w:bookmarkStart w:id="74" w:name="_Toc97638660"/>
      <w:bookmarkStart w:id="75" w:name="_Toc2935719"/>
      <w:bookmarkStart w:id="76" w:name="_Toc100560693"/>
      <w:r>
        <w:rPr>
          <w:rFonts w:ascii="黑体" w:eastAsia="黑体" w:hAnsi="黑体" w:cs="Arial" w:hint="eastAsia"/>
          <w:b w:val="0"/>
          <w:sz w:val="21"/>
          <w:szCs w:val="21"/>
          <w:shd w:val="clear" w:color="auto" w:fill="FFFFFF"/>
        </w:rPr>
        <w:t>七</w:t>
      </w:r>
      <w:bookmarkEnd w:id="71"/>
      <w:bookmarkEnd w:id="72"/>
      <w:bookmarkEnd w:id="73"/>
      <w:bookmarkEnd w:id="74"/>
      <w:bookmarkEnd w:id="75"/>
      <w:r w:rsidR="00FD5579">
        <w:rPr>
          <w:rFonts w:ascii="黑体" w:eastAsia="黑体" w:hAnsi="黑体" w:cs="Arial" w:hint="eastAsia"/>
          <w:b w:val="0"/>
          <w:sz w:val="21"/>
          <w:szCs w:val="21"/>
          <w:shd w:val="clear" w:color="auto" w:fill="FFFFFF"/>
        </w:rPr>
        <w:t>、</w:t>
      </w:r>
      <w:r>
        <w:rPr>
          <w:rFonts w:ascii="黑体" w:eastAsia="黑体" w:hAnsi="黑体" w:cs="Arial" w:hint="eastAsia"/>
          <w:b w:val="0"/>
          <w:sz w:val="21"/>
          <w:szCs w:val="21"/>
          <w:shd w:val="clear" w:color="auto" w:fill="FFFFFF"/>
        </w:rPr>
        <w:t>采用国际标准和国外先进标准情况</w:t>
      </w:r>
      <w:bookmarkEnd w:id="76"/>
    </w:p>
    <w:p w14:paraId="23F190A3" w14:textId="77777777" w:rsidR="001C1073" w:rsidRDefault="005039FA" w:rsidP="0007250F">
      <w:pPr>
        <w:spacing w:line="380" w:lineRule="exact"/>
        <w:ind w:firstLineChars="200" w:firstLine="420"/>
        <w:rPr>
          <w:szCs w:val="21"/>
        </w:rPr>
      </w:pPr>
      <w:r>
        <w:rPr>
          <w:rFonts w:hint="eastAsia"/>
          <w:szCs w:val="21"/>
        </w:rPr>
        <w:t>本文件采用的</w:t>
      </w:r>
      <w:r>
        <w:rPr>
          <w:kern w:val="0"/>
          <w:szCs w:val="21"/>
        </w:rPr>
        <w:t>《</w:t>
      </w:r>
      <w:r>
        <w:rPr>
          <w:szCs w:val="21"/>
        </w:rPr>
        <w:t>环境管理</w:t>
      </w:r>
      <w:r>
        <w:rPr>
          <w:szCs w:val="21"/>
        </w:rPr>
        <w:t xml:space="preserve"> </w:t>
      </w:r>
      <w:r>
        <w:rPr>
          <w:szCs w:val="21"/>
        </w:rPr>
        <w:t>生命周期评价</w:t>
      </w:r>
      <w:r>
        <w:rPr>
          <w:szCs w:val="21"/>
        </w:rPr>
        <w:t xml:space="preserve"> </w:t>
      </w:r>
      <w:r>
        <w:rPr>
          <w:szCs w:val="21"/>
        </w:rPr>
        <w:t>原则与框架</w:t>
      </w:r>
      <w:r>
        <w:rPr>
          <w:kern w:val="0"/>
          <w:szCs w:val="21"/>
        </w:rPr>
        <w:t>》</w:t>
      </w:r>
      <w:r>
        <w:rPr>
          <w:rFonts w:hint="eastAsia"/>
          <w:kern w:val="0"/>
          <w:szCs w:val="21"/>
        </w:rPr>
        <w:t>（</w:t>
      </w:r>
      <w:r>
        <w:rPr>
          <w:szCs w:val="21"/>
        </w:rPr>
        <w:t>GB/T 24040-2008</w:t>
      </w:r>
      <w:r>
        <w:rPr>
          <w:rFonts w:hint="eastAsia"/>
          <w:kern w:val="0"/>
          <w:szCs w:val="21"/>
        </w:rPr>
        <w:t>）</w:t>
      </w:r>
      <w:r>
        <w:rPr>
          <w:kern w:val="0"/>
          <w:szCs w:val="21"/>
        </w:rPr>
        <w:t>、《</w:t>
      </w:r>
      <w:r>
        <w:rPr>
          <w:szCs w:val="21"/>
        </w:rPr>
        <w:t>环境管理</w:t>
      </w:r>
      <w:r>
        <w:rPr>
          <w:szCs w:val="21"/>
        </w:rPr>
        <w:t xml:space="preserve"> </w:t>
      </w:r>
      <w:r>
        <w:rPr>
          <w:szCs w:val="21"/>
        </w:rPr>
        <w:t>生命周期评价</w:t>
      </w:r>
      <w:r>
        <w:rPr>
          <w:szCs w:val="21"/>
        </w:rPr>
        <w:t xml:space="preserve"> </w:t>
      </w:r>
      <w:r>
        <w:rPr>
          <w:szCs w:val="21"/>
        </w:rPr>
        <w:t>要求与指南</w:t>
      </w:r>
      <w:r>
        <w:rPr>
          <w:kern w:val="0"/>
          <w:szCs w:val="21"/>
        </w:rPr>
        <w:t>》</w:t>
      </w:r>
      <w:r>
        <w:rPr>
          <w:rFonts w:hint="eastAsia"/>
          <w:kern w:val="0"/>
          <w:szCs w:val="21"/>
        </w:rPr>
        <w:t>（</w:t>
      </w:r>
      <w:r>
        <w:rPr>
          <w:szCs w:val="21"/>
        </w:rPr>
        <w:t>GB/T 24044-2008</w:t>
      </w:r>
      <w:r>
        <w:rPr>
          <w:rFonts w:hint="eastAsia"/>
          <w:kern w:val="0"/>
          <w:szCs w:val="21"/>
        </w:rPr>
        <w:t>）存在与之对应的国际标准《</w:t>
      </w:r>
      <w:r>
        <w:rPr>
          <w:rFonts w:hint="eastAsia"/>
          <w:kern w:val="0"/>
          <w:szCs w:val="21"/>
        </w:rPr>
        <w:t>Environmental</w:t>
      </w:r>
      <w:r>
        <w:rPr>
          <w:kern w:val="0"/>
          <w:szCs w:val="21"/>
        </w:rPr>
        <w:t xml:space="preserve"> </w:t>
      </w:r>
      <w:r>
        <w:rPr>
          <w:rFonts w:hint="eastAsia"/>
          <w:kern w:val="0"/>
          <w:szCs w:val="21"/>
        </w:rPr>
        <w:t>management</w:t>
      </w:r>
      <w:r>
        <w:rPr>
          <w:kern w:val="0"/>
          <w:szCs w:val="21"/>
        </w:rPr>
        <w:t xml:space="preserve"> – </w:t>
      </w:r>
      <w:r>
        <w:rPr>
          <w:rFonts w:hint="eastAsia"/>
          <w:kern w:val="0"/>
          <w:szCs w:val="21"/>
        </w:rPr>
        <w:t>Life</w:t>
      </w:r>
      <w:r>
        <w:rPr>
          <w:kern w:val="0"/>
          <w:szCs w:val="21"/>
        </w:rPr>
        <w:t xml:space="preserve"> </w:t>
      </w:r>
      <w:r>
        <w:rPr>
          <w:rFonts w:hint="eastAsia"/>
          <w:kern w:val="0"/>
          <w:szCs w:val="21"/>
        </w:rPr>
        <w:t>cycle</w:t>
      </w:r>
      <w:r>
        <w:rPr>
          <w:kern w:val="0"/>
          <w:szCs w:val="21"/>
        </w:rPr>
        <w:t xml:space="preserve"> </w:t>
      </w:r>
      <w:r>
        <w:rPr>
          <w:rFonts w:hint="eastAsia"/>
          <w:kern w:val="0"/>
          <w:szCs w:val="21"/>
        </w:rPr>
        <w:t>assessment</w:t>
      </w:r>
      <w:r>
        <w:rPr>
          <w:kern w:val="0"/>
          <w:szCs w:val="21"/>
        </w:rPr>
        <w:t xml:space="preserve"> – </w:t>
      </w:r>
      <w:r>
        <w:rPr>
          <w:rFonts w:hint="eastAsia"/>
          <w:kern w:val="0"/>
          <w:szCs w:val="21"/>
        </w:rPr>
        <w:t>Principles</w:t>
      </w:r>
      <w:r>
        <w:rPr>
          <w:kern w:val="0"/>
          <w:szCs w:val="21"/>
        </w:rPr>
        <w:t xml:space="preserve"> and framework</w:t>
      </w:r>
      <w:r>
        <w:rPr>
          <w:rFonts w:hint="eastAsia"/>
          <w:kern w:val="0"/>
          <w:szCs w:val="21"/>
        </w:rPr>
        <w:t>》</w:t>
      </w:r>
      <w:r>
        <w:rPr>
          <w:rFonts w:hint="eastAsia"/>
          <w:kern w:val="0"/>
          <w:szCs w:val="21"/>
        </w:rPr>
        <w:t>(</w:t>
      </w:r>
      <w:r>
        <w:rPr>
          <w:kern w:val="0"/>
          <w:szCs w:val="21"/>
        </w:rPr>
        <w:t>ISO 14040-2006)</w:t>
      </w:r>
      <w:r>
        <w:rPr>
          <w:rFonts w:hint="eastAsia"/>
          <w:kern w:val="0"/>
          <w:szCs w:val="21"/>
        </w:rPr>
        <w:t>、《</w:t>
      </w:r>
      <w:r>
        <w:rPr>
          <w:rFonts w:hint="eastAsia"/>
          <w:kern w:val="0"/>
          <w:szCs w:val="21"/>
        </w:rPr>
        <w:t>Environmental</w:t>
      </w:r>
      <w:r>
        <w:rPr>
          <w:kern w:val="0"/>
          <w:szCs w:val="21"/>
        </w:rPr>
        <w:t xml:space="preserve"> </w:t>
      </w:r>
      <w:r>
        <w:rPr>
          <w:rFonts w:hint="eastAsia"/>
          <w:kern w:val="0"/>
          <w:szCs w:val="21"/>
        </w:rPr>
        <w:t>management</w:t>
      </w:r>
      <w:r>
        <w:rPr>
          <w:kern w:val="0"/>
          <w:szCs w:val="21"/>
        </w:rPr>
        <w:t xml:space="preserve"> – </w:t>
      </w:r>
      <w:r>
        <w:rPr>
          <w:rFonts w:hint="eastAsia"/>
          <w:kern w:val="0"/>
          <w:szCs w:val="21"/>
        </w:rPr>
        <w:t>Life</w:t>
      </w:r>
      <w:r>
        <w:rPr>
          <w:kern w:val="0"/>
          <w:szCs w:val="21"/>
        </w:rPr>
        <w:t xml:space="preserve"> </w:t>
      </w:r>
      <w:r>
        <w:rPr>
          <w:rFonts w:hint="eastAsia"/>
          <w:kern w:val="0"/>
          <w:szCs w:val="21"/>
        </w:rPr>
        <w:t>cycle</w:t>
      </w:r>
      <w:r>
        <w:rPr>
          <w:kern w:val="0"/>
          <w:szCs w:val="21"/>
        </w:rPr>
        <w:t xml:space="preserve"> </w:t>
      </w:r>
      <w:r>
        <w:rPr>
          <w:rFonts w:hint="eastAsia"/>
          <w:kern w:val="0"/>
          <w:szCs w:val="21"/>
        </w:rPr>
        <w:t>assessment</w:t>
      </w:r>
      <w:r>
        <w:rPr>
          <w:kern w:val="0"/>
          <w:szCs w:val="21"/>
        </w:rPr>
        <w:t xml:space="preserve"> – </w:t>
      </w:r>
      <w:r>
        <w:rPr>
          <w:rFonts w:hint="eastAsia"/>
          <w:kern w:val="0"/>
          <w:szCs w:val="21"/>
        </w:rPr>
        <w:t>Requirements</w:t>
      </w:r>
      <w:r>
        <w:rPr>
          <w:kern w:val="0"/>
          <w:szCs w:val="21"/>
        </w:rPr>
        <w:t xml:space="preserve"> </w:t>
      </w:r>
      <w:r>
        <w:rPr>
          <w:rFonts w:hint="eastAsia"/>
          <w:kern w:val="0"/>
          <w:szCs w:val="21"/>
        </w:rPr>
        <w:t>and</w:t>
      </w:r>
      <w:r>
        <w:rPr>
          <w:kern w:val="0"/>
          <w:szCs w:val="21"/>
        </w:rPr>
        <w:t xml:space="preserve"> </w:t>
      </w:r>
      <w:r>
        <w:rPr>
          <w:rFonts w:hint="eastAsia"/>
          <w:kern w:val="0"/>
          <w:szCs w:val="21"/>
        </w:rPr>
        <w:t>guidelines</w:t>
      </w:r>
      <w:r>
        <w:rPr>
          <w:rFonts w:hint="eastAsia"/>
          <w:kern w:val="0"/>
          <w:szCs w:val="21"/>
        </w:rPr>
        <w:t>》</w:t>
      </w:r>
      <w:r>
        <w:rPr>
          <w:rFonts w:hint="eastAsia"/>
          <w:kern w:val="0"/>
          <w:szCs w:val="21"/>
        </w:rPr>
        <w:t>(</w:t>
      </w:r>
      <w:r>
        <w:rPr>
          <w:kern w:val="0"/>
          <w:szCs w:val="21"/>
        </w:rPr>
        <w:t>ISO 14044-2006)</w:t>
      </w:r>
      <w:r>
        <w:rPr>
          <w:rFonts w:hint="eastAsia"/>
          <w:kern w:val="0"/>
          <w:szCs w:val="21"/>
        </w:rPr>
        <w:t>。</w:t>
      </w:r>
    </w:p>
    <w:p w14:paraId="054680E1" w14:textId="77777777" w:rsidR="001C1073" w:rsidRDefault="005039FA" w:rsidP="008A5C75">
      <w:pPr>
        <w:spacing w:line="380" w:lineRule="exact"/>
        <w:ind w:firstLineChars="200" w:firstLine="420"/>
        <w:rPr>
          <w:szCs w:val="21"/>
        </w:rPr>
      </w:pPr>
      <w:r>
        <w:rPr>
          <w:rFonts w:hint="eastAsia"/>
          <w:szCs w:val="21"/>
        </w:rPr>
        <w:t>本文件在制定过程中未查到同类国际、国外标准。</w:t>
      </w:r>
    </w:p>
    <w:p w14:paraId="7CCAEC09" w14:textId="77777777" w:rsidR="001C1073" w:rsidRDefault="005039FA">
      <w:pPr>
        <w:spacing w:line="380" w:lineRule="exact"/>
        <w:ind w:firstLineChars="200" w:firstLine="420"/>
        <w:rPr>
          <w:szCs w:val="21"/>
        </w:rPr>
      </w:pPr>
      <w:r>
        <w:rPr>
          <w:rFonts w:hint="eastAsia"/>
          <w:szCs w:val="21"/>
        </w:rPr>
        <w:t>本文件制定过程中未测试国外的样品和样机。</w:t>
      </w:r>
    </w:p>
    <w:p w14:paraId="0FCE0D3C"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bookmarkStart w:id="77" w:name="_Toc97638661"/>
      <w:bookmarkStart w:id="78" w:name="_Toc394740219"/>
      <w:bookmarkStart w:id="79" w:name="_Toc2935821"/>
      <w:bookmarkStart w:id="80" w:name="_Toc324928492"/>
      <w:bookmarkStart w:id="81" w:name="_Toc324944690"/>
      <w:bookmarkStart w:id="82" w:name="_Toc2936066"/>
      <w:bookmarkStart w:id="83" w:name="_Toc41998714"/>
      <w:bookmarkStart w:id="84" w:name="_Toc100560694"/>
      <w:bookmarkStart w:id="85" w:name="_Toc2935720"/>
      <w:r>
        <w:rPr>
          <w:rFonts w:ascii="黑体" w:eastAsia="黑体" w:hAnsi="黑体" w:cs="Arial" w:hint="eastAsia"/>
          <w:b w:val="0"/>
          <w:sz w:val="21"/>
          <w:szCs w:val="21"/>
          <w:shd w:val="clear" w:color="auto" w:fill="FFFFFF"/>
        </w:rPr>
        <w:t>八</w:t>
      </w:r>
      <w:r w:rsidR="00FD5579">
        <w:rPr>
          <w:rFonts w:ascii="黑体" w:eastAsia="黑体" w:hAnsi="黑体" w:cs="Arial" w:hint="eastAsia"/>
          <w:b w:val="0"/>
          <w:sz w:val="21"/>
          <w:szCs w:val="21"/>
          <w:shd w:val="clear" w:color="auto" w:fill="FFFFFF"/>
        </w:rPr>
        <w:t>、</w:t>
      </w:r>
      <w:r>
        <w:rPr>
          <w:rFonts w:ascii="黑体" w:eastAsia="黑体" w:hAnsi="黑体" w:cs="Arial" w:hint="eastAsia"/>
          <w:b w:val="0"/>
          <w:sz w:val="21"/>
          <w:szCs w:val="21"/>
          <w:shd w:val="clear" w:color="auto" w:fill="FFFFFF"/>
        </w:rPr>
        <w:t>与现行相关法律、法规、规章及相关标准，特别是强制性标准的协调性</w:t>
      </w:r>
      <w:bookmarkEnd w:id="77"/>
      <w:bookmarkEnd w:id="78"/>
      <w:bookmarkEnd w:id="79"/>
      <w:bookmarkEnd w:id="80"/>
      <w:bookmarkEnd w:id="81"/>
      <w:bookmarkEnd w:id="82"/>
      <w:bookmarkEnd w:id="83"/>
      <w:bookmarkEnd w:id="84"/>
      <w:bookmarkEnd w:id="85"/>
    </w:p>
    <w:p w14:paraId="6EDE62ED" w14:textId="77777777" w:rsidR="001C1073" w:rsidRDefault="005039FA" w:rsidP="0007250F">
      <w:pPr>
        <w:pStyle w:val="a3"/>
        <w:snapToGrid w:val="0"/>
        <w:spacing w:before="0" w:beforeAutospacing="0" w:after="0" w:afterAutospacing="0" w:line="380" w:lineRule="exact"/>
        <w:ind w:firstLineChars="200" w:firstLine="420"/>
        <w:jc w:val="both"/>
        <w:rPr>
          <w:rFonts w:ascii="宋体" w:eastAsia="宋体" w:hAnsi="宋体" w:cs="Times New Roman"/>
          <w:sz w:val="21"/>
          <w:szCs w:val="21"/>
        </w:rPr>
      </w:pPr>
      <w:r>
        <w:rPr>
          <w:rFonts w:ascii="宋体" w:eastAsia="宋体" w:hAnsi="宋体" w:cs="Times New Roman"/>
          <w:sz w:val="21"/>
          <w:szCs w:val="21"/>
        </w:rPr>
        <w:t>本文件符合现行的法律法规和强制性（国家、行业、地方）标准要求。</w:t>
      </w:r>
    </w:p>
    <w:p w14:paraId="64861DC6"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bookmarkStart w:id="86" w:name="_Toc97638662"/>
      <w:bookmarkStart w:id="87" w:name="_Toc100560695"/>
      <w:r>
        <w:rPr>
          <w:rFonts w:ascii="黑体" w:eastAsia="黑体" w:hAnsi="黑体" w:cs="Arial" w:hint="eastAsia"/>
          <w:b w:val="0"/>
          <w:sz w:val="21"/>
          <w:szCs w:val="21"/>
          <w:shd w:val="clear" w:color="auto" w:fill="FFFFFF"/>
        </w:rPr>
        <w:t>九</w:t>
      </w:r>
      <w:r w:rsidR="00FD5579">
        <w:rPr>
          <w:rFonts w:ascii="黑体" w:eastAsia="黑体" w:hAnsi="黑体" w:cs="Arial" w:hint="eastAsia"/>
          <w:b w:val="0"/>
          <w:sz w:val="21"/>
          <w:szCs w:val="21"/>
          <w:shd w:val="clear" w:color="auto" w:fill="FFFFFF"/>
        </w:rPr>
        <w:t>、</w:t>
      </w:r>
      <w:r>
        <w:rPr>
          <w:rFonts w:ascii="黑体" w:eastAsia="黑体" w:hAnsi="黑体" w:cs="Arial" w:hint="eastAsia"/>
          <w:b w:val="0"/>
          <w:sz w:val="21"/>
          <w:szCs w:val="21"/>
          <w:shd w:val="clear" w:color="auto" w:fill="FFFFFF"/>
        </w:rPr>
        <w:t>重大分歧意见的处理经过和依据</w:t>
      </w:r>
      <w:bookmarkEnd w:id="86"/>
      <w:bookmarkEnd w:id="87"/>
    </w:p>
    <w:p w14:paraId="0831228E" w14:textId="77777777" w:rsidR="001C1073" w:rsidRDefault="005039FA" w:rsidP="0007250F">
      <w:pPr>
        <w:pStyle w:val="a3"/>
        <w:snapToGrid w:val="0"/>
        <w:spacing w:before="0" w:beforeAutospacing="0" w:after="0" w:afterAutospacing="0" w:line="38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无重大</w:t>
      </w:r>
      <w:r>
        <w:rPr>
          <w:rFonts w:ascii="宋体" w:eastAsia="宋体" w:hAnsi="宋体" w:cs="Times New Roman"/>
          <w:sz w:val="21"/>
          <w:szCs w:val="21"/>
        </w:rPr>
        <w:t>分歧意见</w:t>
      </w:r>
      <w:r>
        <w:rPr>
          <w:rFonts w:ascii="宋体" w:eastAsia="宋体" w:hAnsi="宋体" w:cs="Times New Roman" w:hint="eastAsia"/>
          <w:sz w:val="21"/>
          <w:szCs w:val="21"/>
        </w:rPr>
        <w:t>。</w:t>
      </w:r>
    </w:p>
    <w:p w14:paraId="60074B18"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bookmarkStart w:id="88" w:name="_Toc324924947"/>
      <w:bookmarkStart w:id="89" w:name="_Toc2935722"/>
      <w:bookmarkStart w:id="90" w:name="_Toc2936068"/>
      <w:bookmarkStart w:id="91" w:name="_Toc97638663"/>
      <w:bookmarkStart w:id="92" w:name="_Toc2935823"/>
      <w:bookmarkStart w:id="93" w:name="_Toc324928495"/>
      <w:bookmarkStart w:id="94" w:name="_Toc41998716"/>
      <w:bookmarkStart w:id="95" w:name="_Toc394740221"/>
      <w:bookmarkStart w:id="96" w:name="_Toc324944693"/>
      <w:bookmarkStart w:id="97" w:name="_Toc100560696"/>
      <w:r>
        <w:rPr>
          <w:rFonts w:ascii="黑体" w:eastAsia="黑体" w:hAnsi="黑体" w:cs="Arial" w:hint="eastAsia"/>
          <w:b w:val="0"/>
          <w:sz w:val="21"/>
          <w:szCs w:val="21"/>
          <w:shd w:val="clear" w:color="auto" w:fill="FFFFFF"/>
        </w:rPr>
        <w:t>十</w:t>
      </w:r>
      <w:r w:rsidR="00FD5579">
        <w:rPr>
          <w:rFonts w:ascii="黑体" w:eastAsia="黑体" w:hAnsi="黑体" w:cs="Arial" w:hint="eastAsia"/>
          <w:b w:val="0"/>
          <w:sz w:val="21"/>
          <w:szCs w:val="21"/>
          <w:shd w:val="clear" w:color="auto" w:fill="FFFFFF"/>
        </w:rPr>
        <w:t>、</w:t>
      </w:r>
      <w:r>
        <w:rPr>
          <w:rFonts w:ascii="黑体" w:eastAsia="黑体" w:hAnsi="黑体" w:cs="Arial" w:hint="eastAsia"/>
          <w:b w:val="0"/>
          <w:sz w:val="21"/>
          <w:szCs w:val="21"/>
          <w:shd w:val="clear" w:color="auto" w:fill="FFFFFF"/>
        </w:rPr>
        <w:t>标准性质的建议说明</w:t>
      </w:r>
      <w:bookmarkEnd w:id="88"/>
      <w:bookmarkEnd w:id="89"/>
      <w:bookmarkEnd w:id="90"/>
      <w:bookmarkEnd w:id="91"/>
      <w:bookmarkEnd w:id="92"/>
      <w:bookmarkEnd w:id="93"/>
      <w:bookmarkEnd w:id="94"/>
      <w:bookmarkEnd w:id="95"/>
      <w:bookmarkEnd w:id="96"/>
      <w:bookmarkEnd w:id="97"/>
    </w:p>
    <w:p w14:paraId="12D8C9B0" w14:textId="77777777" w:rsidR="001C1073" w:rsidRDefault="005039FA" w:rsidP="0007250F">
      <w:pPr>
        <w:pStyle w:val="a3"/>
        <w:snapToGrid w:val="0"/>
        <w:spacing w:before="0" w:beforeAutospacing="0" w:after="0" w:afterAutospacing="0" w:line="380" w:lineRule="exact"/>
        <w:ind w:firstLineChars="200" w:firstLine="420"/>
        <w:rPr>
          <w:rFonts w:ascii="宋体" w:eastAsia="宋体" w:hAnsi="宋体"/>
          <w:szCs w:val="21"/>
        </w:rPr>
      </w:pPr>
      <w:r>
        <w:rPr>
          <w:rFonts w:ascii="宋体" w:eastAsia="宋体" w:hAnsi="宋体" w:cs="Times New Roman"/>
          <w:sz w:val="21"/>
          <w:szCs w:val="21"/>
        </w:rPr>
        <w:t>建议</w:t>
      </w:r>
      <w:r>
        <w:rPr>
          <w:rFonts w:ascii="宋体" w:eastAsia="宋体" w:hAnsi="宋体" w:cs="Times New Roman" w:hint="eastAsia"/>
          <w:sz w:val="21"/>
          <w:szCs w:val="21"/>
        </w:rPr>
        <w:t>本文件按推荐性团体</w:t>
      </w:r>
      <w:r>
        <w:rPr>
          <w:rFonts w:ascii="宋体" w:eastAsia="宋体" w:hAnsi="宋体" w:cs="Times New Roman"/>
          <w:sz w:val="21"/>
          <w:szCs w:val="21"/>
        </w:rPr>
        <w:t>标准</w:t>
      </w:r>
      <w:r>
        <w:rPr>
          <w:rFonts w:ascii="宋体" w:eastAsia="宋体" w:hAnsi="宋体" w:cs="Times New Roman" w:hint="eastAsia"/>
          <w:sz w:val="21"/>
          <w:szCs w:val="21"/>
        </w:rPr>
        <w:t>发布</w:t>
      </w:r>
      <w:r>
        <w:rPr>
          <w:rFonts w:ascii="宋体" w:eastAsia="宋体" w:hAnsi="宋体" w:cs="Times New Roman"/>
          <w:sz w:val="21"/>
          <w:szCs w:val="21"/>
        </w:rPr>
        <w:t>。</w:t>
      </w:r>
    </w:p>
    <w:p w14:paraId="21BE22FB"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bookmarkStart w:id="98" w:name="_Toc41998717"/>
      <w:bookmarkStart w:id="99" w:name="_Toc324928496"/>
      <w:bookmarkStart w:id="100" w:name="_Toc324944694"/>
      <w:bookmarkStart w:id="101" w:name="_Toc2935723"/>
      <w:bookmarkStart w:id="102" w:name="_Toc2936069"/>
      <w:bookmarkStart w:id="103" w:name="_Toc394740222"/>
      <w:bookmarkStart w:id="104" w:name="_Toc100560697"/>
      <w:bookmarkStart w:id="105" w:name="_Toc97638664"/>
      <w:bookmarkStart w:id="106" w:name="_Toc2935824"/>
      <w:r>
        <w:rPr>
          <w:rFonts w:ascii="黑体" w:eastAsia="黑体" w:hAnsi="黑体" w:cs="Arial" w:hint="eastAsia"/>
          <w:b w:val="0"/>
          <w:sz w:val="21"/>
          <w:szCs w:val="21"/>
          <w:shd w:val="clear" w:color="auto" w:fill="FFFFFF"/>
        </w:rPr>
        <w:lastRenderedPageBreak/>
        <w:t>十一</w:t>
      </w:r>
      <w:r w:rsidR="00FD5579">
        <w:rPr>
          <w:rFonts w:ascii="黑体" w:eastAsia="黑体" w:hAnsi="黑体" w:cs="Arial" w:hint="eastAsia"/>
          <w:b w:val="0"/>
          <w:sz w:val="21"/>
          <w:szCs w:val="21"/>
          <w:shd w:val="clear" w:color="auto" w:fill="FFFFFF"/>
        </w:rPr>
        <w:t>、</w:t>
      </w:r>
      <w:r>
        <w:rPr>
          <w:rFonts w:ascii="黑体" w:eastAsia="黑体" w:hAnsi="黑体" w:cs="Arial" w:hint="eastAsia"/>
          <w:b w:val="0"/>
          <w:sz w:val="21"/>
          <w:szCs w:val="21"/>
          <w:shd w:val="clear" w:color="auto" w:fill="FFFFFF"/>
        </w:rPr>
        <w:t>贯彻标准的要求和措施建议</w:t>
      </w:r>
      <w:bookmarkEnd w:id="98"/>
      <w:bookmarkEnd w:id="99"/>
      <w:bookmarkEnd w:id="100"/>
      <w:bookmarkEnd w:id="101"/>
      <w:bookmarkEnd w:id="102"/>
      <w:bookmarkEnd w:id="103"/>
      <w:bookmarkEnd w:id="104"/>
      <w:bookmarkEnd w:id="105"/>
      <w:bookmarkEnd w:id="106"/>
    </w:p>
    <w:p w14:paraId="1650B9F3" w14:textId="77777777" w:rsidR="001C1073" w:rsidRDefault="005039FA" w:rsidP="0007250F">
      <w:pPr>
        <w:pStyle w:val="a3"/>
        <w:snapToGrid w:val="0"/>
        <w:spacing w:before="0" w:beforeAutospacing="0" w:after="0" w:afterAutospacing="0" w:line="380" w:lineRule="exact"/>
        <w:ind w:firstLineChars="200" w:firstLine="420"/>
        <w:rPr>
          <w:rFonts w:ascii="宋体" w:eastAsia="宋体" w:hAnsi="宋体"/>
          <w:szCs w:val="21"/>
        </w:rPr>
      </w:pPr>
      <w:r>
        <w:rPr>
          <w:rFonts w:ascii="宋体" w:eastAsia="宋体" w:hAnsi="宋体" w:cs="Times New Roman" w:hint="eastAsia"/>
          <w:sz w:val="21"/>
          <w:szCs w:val="21"/>
        </w:rPr>
        <w:t>建议本文件批准发布后1个月内实施。</w:t>
      </w:r>
    </w:p>
    <w:p w14:paraId="31FA4CAF" w14:textId="77777777" w:rsidR="001C1073" w:rsidRDefault="005039FA" w:rsidP="002925C1">
      <w:pPr>
        <w:pStyle w:val="1"/>
        <w:spacing w:before="0" w:beforeAutospacing="0" w:after="0" w:afterAutospacing="0" w:line="380" w:lineRule="exact"/>
        <w:rPr>
          <w:rFonts w:ascii="黑体" w:eastAsia="黑体" w:hAnsi="黑体" w:cs="Arial"/>
          <w:b w:val="0"/>
          <w:sz w:val="21"/>
          <w:szCs w:val="21"/>
          <w:shd w:val="clear" w:color="auto" w:fill="FFFFFF"/>
        </w:rPr>
      </w:pPr>
      <w:bookmarkStart w:id="107" w:name="_Toc100560698"/>
      <w:bookmarkStart w:id="108" w:name="_Toc97638666"/>
      <w:r>
        <w:rPr>
          <w:rFonts w:ascii="黑体" w:eastAsia="黑体" w:hAnsi="黑体" w:cs="Arial" w:hint="eastAsia"/>
          <w:b w:val="0"/>
          <w:sz w:val="21"/>
          <w:szCs w:val="21"/>
          <w:shd w:val="clear" w:color="auto" w:fill="FFFFFF"/>
        </w:rPr>
        <w:t>十二</w:t>
      </w:r>
      <w:r w:rsidR="00FD5579">
        <w:rPr>
          <w:rFonts w:ascii="黑体" w:eastAsia="黑体" w:hAnsi="黑体" w:cs="Arial" w:hint="eastAsia"/>
          <w:b w:val="0"/>
          <w:sz w:val="21"/>
          <w:szCs w:val="21"/>
          <w:shd w:val="clear" w:color="auto" w:fill="FFFFFF"/>
        </w:rPr>
        <w:t>、</w:t>
      </w:r>
      <w:r>
        <w:rPr>
          <w:rFonts w:ascii="黑体" w:eastAsia="黑体" w:hAnsi="黑体" w:cs="Arial" w:hint="eastAsia"/>
          <w:b w:val="0"/>
          <w:sz w:val="21"/>
          <w:szCs w:val="21"/>
          <w:shd w:val="clear" w:color="auto" w:fill="FFFFFF"/>
        </w:rPr>
        <w:t>其他应予说明的事项</w:t>
      </w:r>
      <w:bookmarkEnd w:id="107"/>
      <w:bookmarkEnd w:id="108"/>
    </w:p>
    <w:p w14:paraId="6A5CB242" w14:textId="77777777" w:rsidR="001C1073" w:rsidRDefault="005039FA" w:rsidP="0007250F">
      <w:pPr>
        <w:pStyle w:val="a3"/>
        <w:snapToGrid w:val="0"/>
        <w:spacing w:before="0" w:beforeAutospacing="0" w:after="0" w:afterAutospacing="0" w:line="380" w:lineRule="exact"/>
        <w:ind w:firstLineChars="200" w:firstLine="420"/>
        <w:rPr>
          <w:rFonts w:ascii="宋体" w:eastAsia="宋体" w:hAnsi="宋体" w:cs="Times New Roman"/>
          <w:sz w:val="21"/>
          <w:szCs w:val="21"/>
        </w:rPr>
      </w:pPr>
      <w:r>
        <w:rPr>
          <w:rFonts w:ascii="宋体" w:eastAsia="宋体" w:hAnsi="宋体" w:cs="Times New Roman" w:hint="eastAsia"/>
          <w:sz w:val="21"/>
          <w:szCs w:val="21"/>
        </w:rPr>
        <w:t>无其他应予说明的事项。</w:t>
      </w:r>
    </w:p>
    <w:bookmarkEnd w:id="2"/>
    <w:p w14:paraId="012F8245" w14:textId="77777777" w:rsidR="001C1073" w:rsidRDefault="001C1073">
      <w:pPr>
        <w:pStyle w:val="a3"/>
        <w:snapToGrid w:val="0"/>
        <w:spacing w:before="0" w:beforeAutospacing="0" w:after="0" w:afterAutospacing="0" w:line="380" w:lineRule="exact"/>
        <w:rPr>
          <w:rFonts w:ascii="宋体" w:eastAsia="宋体" w:hAnsi="宋体"/>
          <w:sz w:val="21"/>
          <w:szCs w:val="21"/>
        </w:rPr>
      </w:pPr>
    </w:p>
    <w:p w14:paraId="16A540F3" w14:textId="77777777" w:rsidR="001C1073" w:rsidRDefault="005039FA">
      <w:pPr>
        <w:spacing w:line="380" w:lineRule="exact"/>
        <w:rPr>
          <w:rFonts w:ascii="宋体" w:hAnsi="宋体"/>
          <w:bCs/>
          <w:szCs w:val="21"/>
        </w:rPr>
      </w:pPr>
      <w:bookmarkStart w:id="109" w:name="_Toc185954603"/>
      <w:bookmarkStart w:id="110" w:name="_Toc41998914"/>
      <w:bookmarkStart w:id="111" w:name="_Toc41998720"/>
      <w:bookmarkStart w:id="112" w:name="_Toc31798871"/>
      <w:bookmarkStart w:id="113" w:name="_Toc34641288"/>
      <w:bookmarkStart w:id="114" w:name="_Toc31798981"/>
      <w:bookmarkStart w:id="115" w:name="_Toc185954541"/>
      <w:r>
        <w:rPr>
          <w:rFonts w:ascii="宋体" w:hAnsi="宋体"/>
          <w:bCs/>
          <w:noProof/>
          <w:szCs w:val="21"/>
        </w:rPr>
        <mc:AlternateContent>
          <mc:Choice Requires="wps">
            <w:drawing>
              <wp:anchor distT="0" distB="0" distL="114300" distR="114300" simplePos="0" relativeHeight="251660288" behindDoc="0" locked="0" layoutInCell="1" allowOverlap="1" wp14:anchorId="5BC6BD9E" wp14:editId="72653E3F">
                <wp:simplePos x="0" y="0"/>
                <wp:positionH relativeFrom="column">
                  <wp:posOffset>2286000</wp:posOffset>
                </wp:positionH>
                <wp:positionV relativeFrom="paragraph">
                  <wp:posOffset>456565</wp:posOffset>
                </wp:positionV>
                <wp:extent cx="1533525" cy="0"/>
                <wp:effectExtent l="0" t="0" r="2857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3525" cy="0"/>
                        </a:xfrm>
                        <a:prstGeom prst="line">
                          <a:avLst/>
                        </a:prstGeom>
                        <a:noFill/>
                        <a:ln w="15240">
                          <a:solidFill>
                            <a:srgbClr val="000000"/>
                          </a:solidFill>
                          <a:round/>
                        </a:ln>
                      </wps:spPr>
                      <wps:bodyPr/>
                    </wps:wsp>
                  </a:graphicData>
                </a:graphic>
              </wp:anchor>
            </w:drawing>
          </mc:Choice>
          <mc:Fallback>
            <w:pict>
              <v:line w14:anchorId="5D5E21E3" id="直接连接符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80pt,35.95pt" to="300.7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" strokeweight="1.2pt"/>
            </w:pict>
          </mc:Fallback>
        </mc:AlternateContent>
      </w:r>
      <w:bookmarkEnd w:id="3"/>
      <w:bookmarkEnd w:id="109"/>
      <w:bookmarkEnd w:id="110"/>
      <w:bookmarkEnd w:id="111"/>
      <w:bookmarkEnd w:id="112"/>
      <w:bookmarkEnd w:id="113"/>
      <w:bookmarkEnd w:id="114"/>
      <w:bookmarkEnd w:id="115"/>
    </w:p>
    <w:p w14:paraId="5CB96060" w14:textId="77777777" w:rsidR="001C1073" w:rsidRDefault="001C1073">
      <w:pPr>
        <w:spacing w:line="380" w:lineRule="exact"/>
      </w:pPr>
    </w:p>
    <w:sectPr w:rsidR="001C1073">
      <w:footerReference w:type="even" r:id="rId8"/>
      <w:footerReference w:type="default" r:id="rId9"/>
      <w:pgSz w:w="11907" w:h="16839"/>
      <w:pgMar w:top="1418" w:right="1134" w:bottom="1134"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A8CB" w14:textId="77777777" w:rsidR="0003288C" w:rsidRDefault="0003288C">
      <w:r>
        <w:separator/>
      </w:r>
    </w:p>
  </w:endnote>
  <w:endnote w:type="continuationSeparator" w:id="0">
    <w:p w14:paraId="56D9A4A6" w14:textId="77777777" w:rsidR="0003288C" w:rsidRDefault="0003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书宋简体">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8245C" w14:textId="77777777" w:rsidR="001C1073" w:rsidRDefault="005039FA">
    <w:pPr>
      <w:pStyle w:val="a7"/>
      <w:jc w:val="center"/>
    </w:pPr>
    <w:r>
      <w:fldChar w:fldCharType="begin"/>
    </w:r>
    <w:r>
      <w:instrText>PAGE   \* MERGEFORMAT</w:instrText>
    </w:r>
    <w:r>
      <w:fldChar w:fldCharType="separate"/>
    </w:r>
    <w:r>
      <w:rPr>
        <w:lang w:val="zh-CN"/>
      </w:rPr>
      <w:t>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0E002" w14:textId="77777777" w:rsidR="001C1073" w:rsidRDefault="005039FA">
    <w:pPr>
      <w:pStyle w:val="a7"/>
    </w:pPr>
    <w:r>
      <w:rPr>
        <w:noProof/>
      </w:rPr>
      <mc:AlternateContent>
        <mc:Choice Requires="wps">
          <w:drawing>
            <wp:anchor distT="0" distB="0" distL="114300" distR="114300" simplePos="0" relativeHeight="251660288" behindDoc="0" locked="0" layoutInCell="1" allowOverlap="1" wp14:anchorId="3B51D898" wp14:editId="4DEF1CC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30DFA7" w14:textId="098F9DB2" w:rsidR="001C1073" w:rsidRDefault="005039FA">
                          <w:pPr>
                            <w:pStyle w:val="a7"/>
                          </w:pPr>
                          <w:r>
                            <w:fldChar w:fldCharType="begin"/>
                          </w:r>
                          <w:r>
                            <w:instrText xml:space="preserve"> PAGE  \* MERGEFORMAT </w:instrText>
                          </w:r>
                          <w:r>
                            <w:fldChar w:fldCharType="separate"/>
                          </w:r>
                          <w:r w:rsidR="00576FCE">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51D898"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14:paraId="6930DFA7" w14:textId="098F9DB2" w:rsidR="001C1073" w:rsidRDefault="005039FA">
                    <w:pPr>
                      <w:pStyle w:val="a7"/>
                    </w:pPr>
                    <w:r>
                      <w:fldChar w:fldCharType="begin"/>
                    </w:r>
                    <w:r>
                      <w:instrText xml:space="preserve"> PAGE  \* MERGEFORMAT </w:instrText>
                    </w:r>
                    <w:r>
                      <w:fldChar w:fldCharType="separate"/>
                    </w:r>
                    <w:r w:rsidR="00576FCE">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42B64" w14:textId="77777777" w:rsidR="0003288C" w:rsidRDefault="0003288C">
      <w:r>
        <w:separator/>
      </w:r>
    </w:p>
  </w:footnote>
  <w:footnote w:type="continuationSeparator" w:id="0">
    <w:p w14:paraId="1D19BD0E" w14:textId="77777777" w:rsidR="0003288C" w:rsidRDefault="00032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GI0YTY1NjUzMzE5MjVhODg5YzA4ZWFjOGVkMzcifQ=="/>
  </w:docVars>
  <w:rsids>
    <w:rsidRoot w:val="00C64C69"/>
    <w:rsid w:val="00007AE3"/>
    <w:rsid w:val="00013D4E"/>
    <w:rsid w:val="0003288C"/>
    <w:rsid w:val="00042CF9"/>
    <w:rsid w:val="000547DF"/>
    <w:rsid w:val="00057037"/>
    <w:rsid w:val="0007250F"/>
    <w:rsid w:val="00086740"/>
    <w:rsid w:val="00095CE1"/>
    <w:rsid w:val="00097ACA"/>
    <w:rsid w:val="000A675F"/>
    <w:rsid w:val="000A6791"/>
    <w:rsid w:val="000D4041"/>
    <w:rsid w:val="000E7AF8"/>
    <w:rsid w:val="00134472"/>
    <w:rsid w:val="00146ACE"/>
    <w:rsid w:val="00147CA2"/>
    <w:rsid w:val="001552DE"/>
    <w:rsid w:val="001563A8"/>
    <w:rsid w:val="001C1073"/>
    <w:rsid w:val="001E0306"/>
    <w:rsid w:val="00203484"/>
    <w:rsid w:val="00251EB5"/>
    <w:rsid w:val="00274603"/>
    <w:rsid w:val="002925C1"/>
    <w:rsid w:val="00297BC1"/>
    <w:rsid w:val="002A7F44"/>
    <w:rsid w:val="002C3629"/>
    <w:rsid w:val="002E3514"/>
    <w:rsid w:val="00354A63"/>
    <w:rsid w:val="00364E9B"/>
    <w:rsid w:val="00374908"/>
    <w:rsid w:val="003F6561"/>
    <w:rsid w:val="00415C39"/>
    <w:rsid w:val="00424ECB"/>
    <w:rsid w:val="00482B6C"/>
    <w:rsid w:val="00484639"/>
    <w:rsid w:val="004B4F1C"/>
    <w:rsid w:val="004B694C"/>
    <w:rsid w:val="004C17CB"/>
    <w:rsid w:val="005039FA"/>
    <w:rsid w:val="00513722"/>
    <w:rsid w:val="0052088F"/>
    <w:rsid w:val="0052602A"/>
    <w:rsid w:val="00544F4D"/>
    <w:rsid w:val="00550BF5"/>
    <w:rsid w:val="00566464"/>
    <w:rsid w:val="00576FCE"/>
    <w:rsid w:val="005F5967"/>
    <w:rsid w:val="00601CE9"/>
    <w:rsid w:val="00607D2F"/>
    <w:rsid w:val="006776F3"/>
    <w:rsid w:val="006B0567"/>
    <w:rsid w:val="006D001A"/>
    <w:rsid w:val="00727DB1"/>
    <w:rsid w:val="007443B7"/>
    <w:rsid w:val="00757098"/>
    <w:rsid w:val="007848B3"/>
    <w:rsid w:val="007850EF"/>
    <w:rsid w:val="007C68FD"/>
    <w:rsid w:val="007D074D"/>
    <w:rsid w:val="007F481D"/>
    <w:rsid w:val="00803FCC"/>
    <w:rsid w:val="00810E82"/>
    <w:rsid w:val="00814BAE"/>
    <w:rsid w:val="0084302B"/>
    <w:rsid w:val="008430A2"/>
    <w:rsid w:val="008653EC"/>
    <w:rsid w:val="008670C0"/>
    <w:rsid w:val="008715A4"/>
    <w:rsid w:val="008732E2"/>
    <w:rsid w:val="0088594D"/>
    <w:rsid w:val="008A5C75"/>
    <w:rsid w:val="008E0CF9"/>
    <w:rsid w:val="0091073B"/>
    <w:rsid w:val="00914ECE"/>
    <w:rsid w:val="00926E09"/>
    <w:rsid w:val="009459BE"/>
    <w:rsid w:val="00946251"/>
    <w:rsid w:val="00966D7E"/>
    <w:rsid w:val="00994DE6"/>
    <w:rsid w:val="009A489E"/>
    <w:rsid w:val="009B0054"/>
    <w:rsid w:val="009D7EA0"/>
    <w:rsid w:val="00A34ADD"/>
    <w:rsid w:val="00A413C6"/>
    <w:rsid w:val="00A72112"/>
    <w:rsid w:val="00AE26C9"/>
    <w:rsid w:val="00AE2B6A"/>
    <w:rsid w:val="00AE2EC7"/>
    <w:rsid w:val="00AF107D"/>
    <w:rsid w:val="00B35152"/>
    <w:rsid w:val="00BA01FB"/>
    <w:rsid w:val="00BA0755"/>
    <w:rsid w:val="00BB3A14"/>
    <w:rsid w:val="00C21CF8"/>
    <w:rsid w:val="00C23C32"/>
    <w:rsid w:val="00C472F3"/>
    <w:rsid w:val="00C516CD"/>
    <w:rsid w:val="00C63567"/>
    <w:rsid w:val="00C64C69"/>
    <w:rsid w:val="00C828D5"/>
    <w:rsid w:val="00CD55AF"/>
    <w:rsid w:val="00D26F90"/>
    <w:rsid w:val="00D667B4"/>
    <w:rsid w:val="00D80C1E"/>
    <w:rsid w:val="00D80F86"/>
    <w:rsid w:val="00D82462"/>
    <w:rsid w:val="00D85350"/>
    <w:rsid w:val="00DB727E"/>
    <w:rsid w:val="00DC04DD"/>
    <w:rsid w:val="00DD599A"/>
    <w:rsid w:val="00DF4737"/>
    <w:rsid w:val="00E10E6C"/>
    <w:rsid w:val="00E45FFF"/>
    <w:rsid w:val="00E504CB"/>
    <w:rsid w:val="00E64191"/>
    <w:rsid w:val="00E66BC8"/>
    <w:rsid w:val="00E7011D"/>
    <w:rsid w:val="00EC0B80"/>
    <w:rsid w:val="00EE4AD5"/>
    <w:rsid w:val="00F9401E"/>
    <w:rsid w:val="00FD3A15"/>
    <w:rsid w:val="00FD5579"/>
    <w:rsid w:val="00FD646F"/>
    <w:rsid w:val="00FF6C71"/>
    <w:rsid w:val="0C157DA4"/>
    <w:rsid w:val="296A51E7"/>
    <w:rsid w:val="63B10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5483D37"/>
  <w15:docId w15:val="{BB6FD739-98B3-4ED9-9AB3-9498EDF2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widowControl/>
      <w:spacing w:before="100" w:beforeAutospacing="1" w:after="100" w:afterAutospacing="1"/>
      <w:jc w:val="left"/>
      <w:outlineLvl w:val="0"/>
    </w:pPr>
    <w:rPr>
      <w:rFonts w:ascii="Arial Unicode MS" w:eastAsia="Arial Unicode MS" w:hAnsi="Arial Unicode MS" w:cs="Arial Unicode MS"/>
      <w:b/>
      <w:bCs/>
      <w:kern w:val="36"/>
      <w:sz w:val="48"/>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ascii="Arial Unicode MS" w:eastAsia="Arial Unicode MS" w:hAnsi="Arial Unicode MS" w:cs="Arial Unicode MS"/>
      <w:b/>
      <w:bCs/>
      <w:kern w:val="36"/>
      <w:sz w:val="48"/>
      <w:szCs w:val="4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正文缩进 字符"/>
    <w:link w:val="a3"/>
    <w:qFormat/>
    <w:rPr>
      <w:rFonts w:ascii="Arial Unicode MS" w:eastAsia="Arial Unicode MS" w:hAnsi="Arial Unicode MS" w:cs="Arial Unicode MS"/>
      <w:kern w:val="0"/>
      <w:sz w:val="24"/>
      <w:szCs w:val="24"/>
    </w:rPr>
  </w:style>
  <w:style w:type="paragraph" w:customStyle="1" w:styleId="2">
    <w:name w:val="样式2"/>
    <w:basedOn w:val="a"/>
    <w:link w:val="2Char"/>
    <w:qFormat/>
    <w:pPr>
      <w:widowControl/>
      <w:spacing w:line="380" w:lineRule="exact"/>
      <w:ind w:firstLineChars="200" w:firstLine="616"/>
    </w:pPr>
    <w:rPr>
      <w:rFonts w:hAnsi="仿宋_GB2312"/>
      <w:color w:val="FF0000"/>
      <w:spacing w:val="4"/>
      <w:kern w:val="0"/>
      <w:szCs w:val="30"/>
    </w:rPr>
  </w:style>
  <w:style w:type="character" w:customStyle="1" w:styleId="2Char">
    <w:name w:val="样式2 Char"/>
    <w:link w:val="2"/>
    <w:qFormat/>
    <w:rPr>
      <w:rFonts w:ascii="Times New Roman" w:eastAsia="宋体" w:hAnsi="仿宋_GB2312" w:cs="Times New Roman"/>
      <w:color w:val="FF0000"/>
      <w:spacing w:val="4"/>
      <w:kern w:val="0"/>
      <w:szCs w:val="30"/>
    </w:rPr>
  </w:style>
  <w:style w:type="character" w:customStyle="1" w:styleId="CharChar">
    <w:name w:val="段 Char Char"/>
    <w:link w:val="ac"/>
    <w:qFormat/>
    <w:rPr>
      <w:rFonts w:eastAsia="方正书宋简体"/>
      <w:spacing w:val="4"/>
    </w:rPr>
  </w:style>
  <w:style w:type="paragraph" w:customStyle="1" w:styleId="ac">
    <w:name w:val="段"/>
    <w:link w:val="CharChar"/>
    <w:qFormat/>
    <w:pPr>
      <w:spacing w:line="340" w:lineRule="exact"/>
      <w:ind w:firstLineChars="200" w:firstLine="200"/>
      <w:jc w:val="both"/>
    </w:pPr>
    <w:rPr>
      <w:rFonts w:asciiTheme="minorHAnsi" w:eastAsia="方正书宋简体" w:hAnsiTheme="minorHAnsi" w:cstheme="minorBidi"/>
      <w:spacing w:val="4"/>
      <w:kern w:val="2"/>
      <w:sz w:val="21"/>
      <w:szCs w:val="22"/>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fontstyle01">
    <w:name w:val="fontstyle01"/>
    <w:qFormat/>
    <w:rPr>
      <w:rFonts w:ascii="宋体" w:eastAsia="宋体" w:hAnsi="宋体" w:hint="eastAsia"/>
      <w:color w:val="231F20"/>
      <w:sz w:val="24"/>
      <w:szCs w:val="24"/>
    </w:rPr>
  </w:style>
  <w:style w:type="character" w:customStyle="1" w:styleId="a6">
    <w:name w:val="批注框文本 字符"/>
    <w:basedOn w:val="a0"/>
    <w:link w:val="a5"/>
    <w:uiPriority w:val="99"/>
    <w:semiHidden/>
    <w:rPr>
      <w:rFonts w:ascii="Times New Roman" w:eastAsia="宋体" w:hAnsi="Times New Roman" w:cs="Times New Roman"/>
      <w:kern w:val="2"/>
      <w:sz w:val="18"/>
      <w:szCs w:val="18"/>
    </w:rPr>
  </w:style>
  <w:style w:type="character" w:customStyle="1" w:styleId="30">
    <w:name w:val="标题 3 字符"/>
    <w:basedOn w:val="a0"/>
    <w:link w:val="3"/>
    <w:uiPriority w:val="9"/>
    <w:semiHidden/>
    <w:rPr>
      <w:rFonts w:ascii="Times New Roman" w:eastAsia="宋体" w:hAnsi="Times New Roman" w:cs="Times New Roman"/>
      <w:b/>
      <w:bCs/>
      <w:kern w:val="2"/>
      <w:sz w:val="32"/>
      <w:szCs w:val="32"/>
    </w:rPr>
  </w:style>
  <w:style w:type="character" w:styleId="ad">
    <w:name w:val="Placeholder Text"/>
    <w:basedOn w:val="a0"/>
    <w:uiPriority w:val="99"/>
    <w:semiHidden/>
    <w:rPr>
      <w:color w:val="808080"/>
    </w:rPr>
  </w:style>
  <w:style w:type="character" w:customStyle="1" w:styleId="50">
    <w:name w:val="标题 5 字符"/>
    <w:basedOn w:val="a0"/>
    <w:link w:val="5"/>
    <w:uiPriority w:val="9"/>
    <w:semiHidden/>
    <w:rPr>
      <w:rFonts w:ascii="Times New Roman" w:eastAsia="宋体" w:hAnsi="Times New Roman"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1350</Words>
  <Characters>7697</Characters>
  <Application>Microsoft Office Word</Application>
  <DocSecurity>0</DocSecurity>
  <Lines>64</Lines>
  <Paragraphs>18</Paragraphs>
  <ScaleCrop>false</ScaleCrop>
  <Company>Microsoft</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Liuhx</cp:lastModifiedBy>
  <cp:revision>38</cp:revision>
  <dcterms:created xsi:type="dcterms:W3CDTF">2022-04-20T00:23:00Z</dcterms:created>
  <dcterms:modified xsi:type="dcterms:W3CDTF">2022-05-22T04:13:00Z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88D9595A00154A6898844FEA2DE6C10E</vt:lpwstr>
  </property>
</Properties>
</file>