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科技成果征集表</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成果名称</w:t>
            </w:r>
          </w:p>
        </w:tc>
        <w:tc>
          <w:tcPr>
            <w:tcW w:w="6459" w:type="dxa"/>
            <w:vAlign w:val="center"/>
          </w:tcPr>
          <w:p>
            <w:pPr>
              <w:jc w:val="center"/>
            </w:pPr>
            <w:r>
              <w:rPr>
                <w:rFonts w:hint="eastAsia"/>
                <w:lang w:val="en-US" w:eastAsia="zh-CN"/>
              </w:rPr>
              <w:t>工业高盐废水蒸发结晶及高值资源化处理利用技术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成果拥有单位</w:t>
            </w:r>
          </w:p>
        </w:tc>
        <w:tc>
          <w:tcPr>
            <w:tcW w:w="6459" w:type="dxa"/>
            <w:vAlign w:val="center"/>
          </w:tcPr>
          <w:p>
            <w:pPr>
              <w:jc w:val="center"/>
            </w:pPr>
            <w:r>
              <w:rPr>
                <w:rFonts w:hint="eastAsia"/>
                <w:lang w:val="en-US" w:eastAsia="zh-CN"/>
              </w:rPr>
              <w:t>合众高科（北京）环保技术股份有限公司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成果单位简介</w:t>
            </w:r>
          </w:p>
        </w:tc>
        <w:tc>
          <w:tcPr>
            <w:tcW w:w="6459" w:type="dxa"/>
            <w:vAlign w:val="center"/>
          </w:tcPr>
          <w:p>
            <w:pPr>
              <w:spacing w:line="360" w:lineRule="auto"/>
              <w:ind w:firstLine="420" w:firstLineChars="200"/>
              <w:jc w:val="left"/>
              <w:rPr>
                <w:rFonts w:hint="eastAsia"/>
                <w:lang w:val="en-US" w:eastAsia="zh-CN"/>
              </w:rPr>
            </w:pPr>
            <w:r>
              <w:rPr>
                <w:rFonts w:hint="eastAsia"/>
                <w:lang w:val="en-US" w:eastAsia="zh-CN"/>
              </w:rPr>
              <w:t>合众高科（北京）环保技术股份有限公司成立于2003年，</w:t>
            </w:r>
            <w:bookmarkStart w:id="0" w:name="OLE_LINK2"/>
            <w:r>
              <w:rPr>
                <w:rFonts w:hint="eastAsia"/>
                <w:lang w:val="en-US" w:eastAsia="zh-CN"/>
              </w:rPr>
              <w:t>作为一家国际一流的废水零排放方案的提供商及膜法设备的供应商，</w:t>
            </w:r>
            <w:bookmarkEnd w:id="0"/>
            <w:r>
              <w:rPr>
                <w:rFonts w:hint="eastAsia"/>
                <w:lang w:val="en-US" w:eastAsia="zh-CN"/>
              </w:rPr>
              <w:t>公司针对国内外电力、煤化工、石油、化工、冶金、采矿、市政等行业提供专业的水处理设备与解决方案，主营业务涵盖：工业废水处理与零排放、市政污水处理、海水淡化处理等。</w:t>
            </w:r>
          </w:p>
          <w:p>
            <w:pPr>
              <w:spacing w:line="360" w:lineRule="auto"/>
              <w:ind w:firstLine="420" w:firstLineChars="200"/>
              <w:jc w:val="left"/>
              <w:rPr>
                <w:rFonts w:hint="eastAsia"/>
                <w:lang w:val="en-US" w:eastAsia="zh-CN"/>
              </w:rPr>
            </w:pPr>
            <w:r>
              <w:rPr>
                <w:rFonts w:hint="eastAsia"/>
                <w:lang w:val="en-US" w:eastAsia="zh-CN"/>
              </w:rPr>
              <w:t>合众高科持续引进世界领先技术，汇聚国际高端专业人才。由国家千人计划海外人才牛青山教授牵头成立的研发团队，专攻技术与创新，已取得百余项专利技术，公司在2011年11月获得高新技术企业认证。</w:t>
            </w:r>
          </w:p>
          <w:p>
            <w:pPr>
              <w:spacing w:line="360" w:lineRule="auto"/>
              <w:ind w:firstLine="420" w:firstLineChars="200"/>
              <w:jc w:val="left"/>
              <w:rPr>
                <w:rFonts w:hint="eastAsia"/>
                <w:lang w:val="en-US" w:eastAsia="zh-CN"/>
              </w:rPr>
            </w:pPr>
            <w:r>
              <w:rPr>
                <w:rFonts w:hint="eastAsia"/>
                <w:lang w:val="en-US" w:eastAsia="zh-CN"/>
              </w:rPr>
              <w:t>合众高科秉承为客户提供“买得起、用得起，主流技术、成熟工艺”的宗旨，工程运营全方位流程化、体系化管理，帮助客户降低水处理成本，提高经济效益。同时注重技术细节，想客户所想，赢得众多客户的较高美誉度，至今已完成国内外多个工程项目。</w:t>
            </w:r>
          </w:p>
          <w:p>
            <w:pPr>
              <w:spacing w:line="360" w:lineRule="auto"/>
              <w:ind w:firstLine="420" w:firstLineChars="200"/>
              <w:jc w:val="left"/>
            </w:pPr>
            <w:r>
              <w:rPr>
                <w:rFonts w:hint="eastAsia"/>
                <w:lang w:val="en-US" w:eastAsia="zh-CN"/>
              </w:rPr>
              <w:t>未来的合众高科BOO、BOT、BT、租赁等多种商业模式并举，致力提供最可靠、最成熟、最经济的国际领先的水处理解决方案，为国家的碧水蓝天做贡献，为美好地球加油！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rFonts w:ascii="Times New Roman" w:hAnsi="Times New Roman"/>
                <w:b/>
                <w:szCs w:val="21"/>
              </w:rPr>
            </w:pPr>
            <w:r>
              <w:rPr>
                <w:rFonts w:hint="eastAsia" w:ascii="Times New Roman" w:hAnsi="Times New Roman"/>
                <w:b/>
                <w:szCs w:val="21"/>
              </w:rPr>
              <w:t>成果</w:t>
            </w:r>
            <w:r>
              <w:rPr>
                <w:rFonts w:ascii="Times New Roman" w:hAnsi="Times New Roman"/>
                <w:b/>
                <w:szCs w:val="21"/>
              </w:rPr>
              <w:t>来源</w:t>
            </w:r>
          </w:p>
        </w:tc>
        <w:tc>
          <w:tcPr>
            <w:tcW w:w="6459" w:type="dxa"/>
            <w:vAlign w:val="center"/>
          </w:tcPr>
          <w:p>
            <w:pPr>
              <w:jc w:val="center"/>
              <w:rPr>
                <w:rFonts w:ascii="Times New Roman" w:hAnsi="Times New Roman"/>
                <w:szCs w:val="21"/>
              </w:rPr>
            </w:pPr>
            <w:r>
              <w:rPr>
                <w:rFonts w:ascii="Times New Roman" w:hAnsi="Times New Roman"/>
                <w:szCs w:val="21"/>
              </w:rPr>
              <w:t xml:space="preserve">□ 自主研发    </w:t>
            </w:r>
            <w:r>
              <w:rPr>
                <w:rFonts w:ascii="Times New Roman" w:hAnsi="Times New Roman"/>
                <w:szCs w:val="21"/>
              </w:rPr>
              <w:sym w:font="Wingdings 2" w:char="0052"/>
            </w:r>
            <w:r>
              <w:rPr>
                <w:rFonts w:ascii="Times New Roman" w:hAnsi="Times New Roman"/>
                <w:szCs w:val="21"/>
              </w:rPr>
              <w:t xml:space="preserve"> 合作研发      □ 国外</w:t>
            </w:r>
            <w:r>
              <w:rPr>
                <w:rFonts w:hint="eastAsia" w:ascii="Times New Roman" w:hAnsi="Times New Roman"/>
                <w:szCs w:val="21"/>
              </w:rPr>
              <w:t>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2154" w:type="dxa"/>
            <w:vAlign w:val="center"/>
          </w:tcPr>
          <w:p>
            <w:pPr>
              <w:jc w:val="center"/>
              <w:rPr>
                <w:b/>
                <w:bCs/>
              </w:rPr>
            </w:pPr>
            <w:r>
              <w:rPr>
                <w:rFonts w:hint="eastAsia"/>
                <w:b/>
                <w:bCs/>
              </w:rPr>
              <w:t>成果简介</w:t>
            </w:r>
          </w:p>
          <w:p>
            <w:pPr>
              <w:jc w:val="center"/>
              <w:rPr>
                <w:b/>
                <w:bCs/>
              </w:rPr>
            </w:pPr>
            <w:r>
              <w:rPr>
                <w:rFonts w:hint="eastAsia"/>
                <w:b/>
                <w:bCs/>
              </w:rPr>
              <w:t>（</w:t>
            </w:r>
            <w:r>
              <w:rPr>
                <w:rFonts w:hint="eastAsia"/>
              </w:rPr>
              <w:t>主要技术和创新点等</w:t>
            </w:r>
            <w:r>
              <w:rPr>
                <w:rFonts w:hint="eastAsia"/>
                <w:b/>
                <w:bCs/>
              </w:rPr>
              <w:t>）</w:t>
            </w:r>
          </w:p>
        </w:tc>
        <w:tc>
          <w:tcPr>
            <w:tcW w:w="6459" w:type="dxa"/>
            <w:vAlign w:val="center"/>
          </w:tcPr>
          <w:p>
            <w:pPr>
              <w:spacing w:line="360" w:lineRule="auto"/>
              <w:ind w:firstLine="420" w:firstLineChars="200"/>
              <w:jc w:val="left"/>
              <w:rPr>
                <w:rFonts w:hint="eastAsia"/>
                <w:lang w:val="en-US" w:eastAsia="zh-CN"/>
              </w:rPr>
            </w:pPr>
            <w:r>
              <w:rPr>
                <w:rFonts w:hint="eastAsia"/>
                <w:lang w:val="en-US" w:eastAsia="zh-CN"/>
              </w:rPr>
              <w:t>工业废水成分复杂，水质、水量波动大，为保证产出产水回用与得到高质量的资源化结晶盐，需要充分分析水质特点，根据水质情况设计整体的零排放解决方案：预处理-深度处理-蒸发结晶处理技术，最终实现零排放。</w:t>
            </w:r>
          </w:p>
          <w:p>
            <w:pPr>
              <w:spacing w:line="360" w:lineRule="auto"/>
              <w:ind w:firstLine="420" w:firstLineChars="200"/>
              <w:jc w:val="left"/>
              <w:rPr>
                <w:rFonts w:hint="eastAsia"/>
                <w:lang w:val="en-US" w:eastAsia="zh-CN"/>
              </w:rPr>
            </w:pPr>
            <w:r>
              <w:rPr>
                <w:rFonts w:hint="eastAsia"/>
                <w:lang w:val="en-US" w:eastAsia="zh-CN"/>
              </w:rPr>
              <w:t>该技术的核心是运用蒸汽机械再压缩蒸发结晶系统工艺，该工艺是重新利用蒸发器的二次蒸汽的能量，从而减少对外界能源需求的一项技术，其工作过程是低温位的蒸汽经压缩机压缩，温度、压力提高，热焓增加，然后进入换热器冷凝，以充分利用蒸汽的潜热，整个蒸发过程中大量节省生蒸汽能源的投入，同时实现废水回用，达到节水与废水资源化的目的。</w:t>
            </w:r>
          </w:p>
          <w:p>
            <w:pPr>
              <w:spacing w:line="360" w:lineRule="auto"/>
              <w:ind w:firstLine="420" w:firstLineChars="200"/>
              <w:jc w:val="left"/>
              <w:rPr>
                <w:rFonts w:hint="eastAsia"/>
                <w:lang w:val="en-US" w:eastAsia="zh-CN"/>
              </w:rPr>
            </w:pPr>
            <w:r>
              <w:rPr>
                <w:rFonts w:hint="eastAsia"/>
                <w:lang w:val="en-US" w:eastAsia="zh-CN"/>
              </w:rPr>
              <w:t>其中关键技术为蒸发结晶技术。目前工业废水中所含的盐类主要以盐和硝为主，根据不同的水质盐硝比各异，并且结合废水中其它有害成分，实现蒸发结晶技术在废水零排放上设计应用，如蒸发析盐、蒸发析硝、冷冻析硝等蒸发系统技术，实现废水零排放。</w:t>
            </w:r>
          </w:p>
          <w:p>
            <w:pPr>
              <w:spacing w:line="360" w:lineRule="auto"/>
              <w:ind w:firstLine="420" w:firstLineChars="200"/>
              <w:jc w:val="left"/>
            </w:pPr>
            <w:r>
              <w:rPr>
                <w:rFonts w:hint="eastAsia"/>
                <w:lang w:val="en-US" w:eastAsia="zh-CN"/>
              </w:rPr>
              <w:t>主要技术特点：1）热效率高，节省能源：由于循环利用蒸汽，蒸发过程中避免使用新鲜蒸汽，大大减少了能源消耗，没有废热蒸汽排放，节能效果十分显著。2)实现废水零排放，提高水资源化利用率：技术工艺对废水进行有效的处理，出水水质满足再生水标准,全部回用，无污水排放，同时减少工业新鲜用水量，节约水资源。3)实现循环经济，资源回收：通过对水中水质含量的精准分析与有效利用，将水中高含量的物质进行资源化开发，得到具有一定经济价值的工业级结晶盐，在减少固废的同时，实现副产经济的回收。实现废水与废物的循环经济。4)节省占地面积：工艺设计提高了能效，设备布局合理，极大程度减少占地面积，节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技术领域</w:t>
            </w:r>
          </w:p>
        </w:tc>
        <w:tc>
          <w:tcPr>
            <w:tcW w:w="6459" w:type="dxa"/>
            <w:vAlign w:val="center"/>
          </w:tcPr>
          <w:p>
            <w:pPr>
              <w:jc w:val="center"/>
              <w:rPr>
                <w:rFonts w:hint="default" w:eastAsiaTheme="minorEastAsia"/>
                <w:lang w:val="en-US" w:eastAsia="zh-CN"/>
              </w:rPr>
            </w:pPr>
            <w:r>
              <w:rPr>
                <w:rFonts w:hint="eastAsia"/>
                <w:lang w:val="en-US" w:eastAsia="zh-CN"/>
              </w:rPr>
              <w:t>环保领域技术与装备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成果成熟度</w:t>
            </w:r>
          </w:p>
        </w:tc>
        <w:tc>
          <w:tcPr>
            <w:tcW w:w="6459" w:type="dxa"/>
            <w:vAlign w:val="center"/>
          </w:tcPr>
          <w:p>
            <w:pPr>
              <w:jc w:val="center"/>
              <w:rPr>
                <w:rFonts w:hint="default" w:eastAsiaTheme="minorEastAsia"/>
                <w:lang w:val="en-US" w:eastAsia="zh-CN"/>
              </w:rPr>
            </w:pPr>
            <w:r>
              <w:rPr>
                <w:rFonts w:hint="eastAsia"/>
                <w:lang w:val="en-US" w:eastAsia="zh-CN"/>
              </w:rPr>
              <w:t>成果转化与应用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推广行业及应用场景</w:t>
            </w:r>
            <w:r>
              <w:rPr>
                <w:rFonts w:hint="eastAsia"/>
                <w:bCs/>
              </w:rPr>
              <w:t>（简单描述）</w:t>
            </w:r>
          </w:p>
        </w:tc>
        <w:tc>
          <w:tcPr>
            <w:tcW w:w="6459" w:type="dxa"/>
            <w:vAlign w:val="center"/>
          </w:tcPr>
          <w:p>
            <w:pPr>
              <w:spacing w:line="360" w:lineRule="auto"/>
              <w:ind w:firstLine="420" w:firstLineChars="200"/>
              <w:jc w:val="left"/>
            </w:pPr>
            <w:r>
              <w:rPr>
                <w:rFonts w:hint="eastAsia"/>
                <w:lang w:val="en-US" w:eastAsia="zh-CN"/>
              </w:rPr>
              <w:t>适用于工业废水处理，如煤化工、采矿、电力、石油、化工、冶金、市政等行业的废水处理。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54" w:type="dxa"/>
            <w:vAlign w:val="center"/>
          </w:tcPr>
          <w:p>
            <w:pPr>
              <w:jc w:val="center"/>
              <w:rPr>
                <w:b/>
                <w:bCs/>
              </w:rPr>
            </w:pPr>
            <w:r>
              <w:rPr>
                <w:rFonts w:hint="eastAsia"/>
                <w:b/>
                <w:bCs/>
              </w:rPr>
              <w:t>市场预测</w:t>
            </w:r>
          </w:p>
        </w:tc>
        <w:tc>
          <w:tcPr>
            <w:tcW w:w="6459" w:type="dxa"/>
            <w:vAlign w:val="center"/>
          </w:tcPr>
          <w:p>
            <w:pPr>
              <w:spacing w:line="360" w:lineRule="auto"/>
              <w:ind w:firstLine="420" w:firstLineChars="200"/>
              <w:jc w:val="left"/>
              <w:rPr>
                <w:rFonts w:hint="eastAsia"/>
                <w:lang w:val="en-US" w:eastAsia="zh-CN"/>
              </w:rPr>
            </w:pPr>
            <w:r>
              <w:rPr>
                <w:rFonts w:hint="eastAsia"/>
                <w:lang w:val="en-US" w:eastAsia="zh-CN"/>
              </w:rPr>
              <w:t>本技术工艺是高浓度废水深度处理最优的零排放解决方案之一，适用于废水排放量大、水质复杂、含盐量高的工业废水的处理。本技术工艺根据客户的水质特点与工业环境量身定制，以完善的工艺设计，真正实现废水零排放。本技术在国内同行业所采用的废水处理工艺中处于领先水平。经本技术工艺理后的产水可达到循环冷却水的回用标准，回用于循环冷却水补水，浓水再进一步通过处理，得到高品质工业盐。目前该技术在煤矿、煤化工、火电、石油、化工等工业废水零排放领域已经纷纷落地，如建设的国家能源宁夏煤业宁东矿区矿井水及煤化工废水处理利用项目、内蒙古兰太实业氯化异氰尿酸废水回收综合利用EPC 项目、国投新集电力利辛板集电厂脱硫废水零排放项目、国电汉川电厂脱硫废水零排放项目等示范项目。</w:t>
            </w:r>
          </w:p>
          <w:p>
            <w:pPr>
              <w:spacing w:line="360" w:lineRule="auto"/>
              <w:ind w:firstLine="420" w:firstLineChars="200"/>
              <w:jc w:val="left"/>
            </w:pPr>
            <w:r>
              <w:rPr>
                <w:rFonts w:hint="eastAsia"/>
                <w:lang w:val="en-US" w:eastAsia="zh-CN"/>
              </w:rPr>
              <w:t>在国家大力推动节能减排的大趋势下，用蒸发结晶零排放技术替代传统达标排放技术，必将会为越来越多的企业认可和采用，产业化市场前景极其可观。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54" w:type="dxa"/>
            <w:vAlign w:val="center"/>
          </w:tcPr>
          <w:p>
            <w:pPr>
              <w:jc w:val="center"/>
              <w:rPr>
                <w:b/>
                <w:bCs/>
              </w:rPr>
            </w:pPr>
            <w:r>
              <w:rPr>
                <w:rFonts w:hint="eastAsia"/>
                <w:b/>
                <w:bCs/>
              </w:rPr>
              <w:t>典型案例</w:t>
            </w:r>
          </w:p>
          <w:p>
            <w:pPr>
              <w:jc w:val="center"/>
              <w:rPr>
                <w:b/>
                <w:bCs/>
              </w:rPr>
            </w:pPr>
            <w:r>
              <w:rPr>
                <w:rFonts w:hint="eastAsia"/>
                <w:bCs/>
              </w:rPr>
              <w:t>（简单描述）</w:t>
            </w:r>
          </w:p>
        </w:tc>
        <w:tc>
          <w:tcPr>
            <w:tcW w:w="6459" w:type="dxa"/>
            <w:vAlign w:val="center"/>
          </w:tcPr>
          <w:p>
            <w:pPr>
              <w:spacing w:line="360" w:lineRule="auto"/>
              <w:jc w:val="left"/>
              <w:rPr>
                <w:rFonts w:hint="eastAsia"/>
                <w:lang w:val="en-US" w:eastAsia="zh-CN"/>
              </w:rPr>
            </w:pPr>
            <w:r>
              <w:rPr>
                <w:rFonts w:hint="eastAsia"/>
                <w:lang w:val="en-US" w:eastAsia="zh-CN"/>
              </w:rPr>
              <w:t>国家能源宁夏煤业宁东矿区矿井水及煤化工废水处理利用项目：</w:t>
            </w:r>
          </w:p>
          <w:p>
            <w:pPr>
              <w:spacing w:line="360" w:lineRule="auto"/>
              <w:ind w:firstLine="420" w:firstLineChars="200"/>
              <w:jc w:val="left"/>
              <w:rPr>
                <w:rFonts w:hint="eastAsia"/>
                <w:lang w:val="en-US" w:eastAsia="zh-CN"/>
              </w:rPr>
            </w:pPr>
            <w:r>
              <w:rPr>
                <w:rFonts w:hint="eastAsia"/>
                <w:lang w:val="en-US" w:eastAsia="zh-CN"/>
              </w:rPr>
              <w:t>为国家能源宁夏煤业在宁东煤化工基地建设的宁东矿区矿井水及煤化工废水处理利用项目，集中处理宁东矿区矿井尾水及化工园区煤化工废水。项目是目前国内规模最大、工艺路线最完善、盐品质量最高、杂盐率最低的工业废水分盐零排放项目。矿井水与煤化工园区废水完全分开处理，废水成分复杂多变，通过膜浓缩减量、分质分盐及蒸发结晶等核心技术实现零排放。处理后年回收产品水2409万吨，达到初级再生水水质标准，作为生产补充水回用于园区化工项目；项目产生的浓盐水经过分盐及结晶处理，副产一级品氯化钠3.99万吨/年、一等品无水硫酸钠4.32万吨/年，解决了矿井废水和煤化工废水排放及处理问题，实现项目零排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b/>
                <w:bCs/>
              </w:rPr>
            </w:pPr>
            <w:r>
              <w:rPr>
                <w:rFonts w:hint="eastAsia"/>
                <w:b/>
                <w:bCs/>
              </w:rPr>
              <w:t>合作方式</w:t>
            </w:r>
          </w:p>
        </w:tc>
        <w:tc>
          <w:tcPr>
            <w:tcW w:w="6459" w:type="dxa"/>
            <w:vAlign w:val="center"/>
          </w:tcPr>
          <w:p>
            <w:pPr>
              <w:jc w:val="center"/>
              <w:rPr>
                <w:rFonts w:ascii="Arial" w:hAnsi="Arial" w:cs="Arial"/>
              </w:rPr>
            </w:pPr>
            <w:r>
              <w:rPr>
                <w:rFonts w:hint="eastAsia"/>
              </w:rPr>
              <w:t>（在</w:t>
            </w:r>
            <w:r>
              <w:rPr>
                <w:rFonts w:hint="eastAsia"/>
              </w:rPr>
              <w:sym w:font="Wingdings 2" w:char="00A3"/>
            </w:r>
            <w:r>
              <w:rPr>
                <w:rFonts w:hint="eastAsia"/>
              </w:rPr>
              <w:t>内打</w:t>
            </w:r>
            <w:r>
              <w:rPr>
                <w:rFonts w:ascii="Arial" w:hAnsi="Arial" w:cs="Arial"/>
              </w:rPr>
              <w:t>√</w:t>
            </w:r>
            <w:r>
              <w:rPr>
                <w:rFonts w:hint="eastAsia" w:ascii="Arial" w:hAnsi="Arial" w:cs="Arial"/>
              </w:rPr>
              <w:t xml:space="preserve">） </w:t>
            </w:r>
            <w:r>
              <w:rPr>
                <w:rFonts w:hint="eastAsia" w:ascii="Arial" w:hAnsi="Arial" w:cs="Arial"/>
              </w:rPr>
              <w:sym w:font="Wingdings 2" w:char="00A3"/>
            </w:r>
            <w:r>
              <w:rPr>
                <w:rFonts w:hint="eastAsia" w:ascii="Arial" w:hAnsi="Arial" w:cs="Arial"/>
              </w:rPr>
              <w:t xml:space="preserve">技术转让 </w:t>
            </w:r>
            <w:r>
              <w:rPr>
                <w:rFonts w:hint="eastAsia" w:ascii="Arial" w:hAnsi="Arial" w:cs="Arial"/>
              </w:rPr>
              <w:sym w:font="Wingdings 2" w:char="00A3"/>
            </w:r>
            <w:r>
              <w:rPr>
                <w:rFonts w:hint="eastAsia" w:ascii="Arial" w:hAnsi="Arial" w:cs="Arial"/>
              </w:rPr>
              <w:t xml:space="preserve">技术服务 </w:t>
            </w:r>
            <w:r>
              <w:rPr>
                <w:rFonts w:hint="eastAsia" w:ascii="Arial" w:hAnsi="Arial" w:cs="Arial"/>
              </w:rPr>
              <w:sym w:font="Wingdings 2" w:char="00A3"/>
            </w:r>
            <w:r>
              <w:rPr>
                <w:rFonts w:hint="eastAsia" w:ascii="Arial" w:hAnsi="Arial" w:cs="Arial"/>
              </w:rPr>
              <w:t>产品对接</w:t>
            </w:r>
          </w:p>
          <w:p>
            <w:pPr>
              <w:ind w:firstLine="2205" w:firstLineChars="1050"/>
              <w:rPr>
                <w:rFonts w:ascii="Arial" w:hAnsi="Arial" w:cs="Arial"/>
              </w:rPr>
            </w:pPr>
            <w:r>
              <w:rPr>
                <w:rFonts w:hint="eastAsia" w:ascii="Arial" w:hAnsi="Arial" w:cs="Arial"/>
              </w:rPr>
              <w:sym w:font="Wingdings 2" w:char="0052"/>
            </w:r>
            <w:r>
              <w:rPr>
                <w:rFonts w:hint="eastAsia" w:ascii="Arial" w:hAnsi="Arial" w:cs="Arial"/>
              </w:rPr>
              <w:t xml:space="preserve">推广应用 </w:t>
            </w:r>
            <w:r>
              <w:rPr>
                <w:rFonts w:hint="eastAsia" w:ascii="Arial" w:hAnsi="Arial" w:cs="Arial"/>
              </w:rPr>
              <w:sym w:font="Wingdings 2" w:char="00A3"/>
            </w:r>
            <w:r>
              <w:rPr>
                <w:rFonts w:hint="eastAsia" w:ascii="Arial" w:hAnsi="Arial" w:cs="Arial"/>
              </w:rPr>
              <w:t>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rFonts w:hint="eastAsia"/>
                <w:b/>
                <w:bCs/>
              </w:rPr>
            </w:pPr>
            <w:r>
              <w:rPr>
                <w:rFonts w:hint="eastAsia"/>
                <w:b/>
                <w:bCs/>
              </w:rPr>
              <w:t>科技成果鉴定</w:t>
            </w:r>
          </w:p>
        </w:tc>
        <w:tc>
          <w:tcPr>
            <w:tcW w:w="6459" w:type="dxa"/>
            <w:vAlign w:val="center"/>
          </w:tcPr>
          <w:p>
            <w:pPr>
              <w:jc w:val="center"/>
              <w:rPr>
                <w:rFonts w:hint="eastAsia"/>
              </w:rPr>
            </w:pPr>
            <w:r>
              <w:rPr>
                <w:rFonts w:hint="eastAsia" w:ascii="Arial" w:hAnsi="Arial" w:cs="Arial"/>
              </w:rPr>
              <w:sym w:font="Wingdings 2" w:char="00A3"/>
            </w:r>
            <w:r>
              <w:rPr>
                <w:rFonts w:hint="eastAsia" w:ascii="Arial" w:hAnsi="Arial" w:cs="Arial"/>
              </w:rPr>
              <w:t xml:space="preserve">需要 </w:t>
            </w:r>
            <w:r>
              <w:rPr>
                <w:rFonts w:hint="eastAsia" w:ascii="Arial" w:hAnsi="Arial" w:cs="Arial"/>
              </w:rPr>
              <w:sym w:font="Wingdings 2" w:char="0052"/>
            </w:r>
            <w:r>
              <w:rPr>
                <w:rFonts w:hint="eastAsia" w:ascii="Arial" w:hAnsi="Arial" w:cs="Arial"/>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4" w:type="dxa"/>
            <w:vAlign w:val="center"/>
          </w:tcPr>
          <w:p>
            <w:pPr>
              <w:jc w:val="center"/>
              <w:rPr>
                <w:rFonts w:hint="eastAsia"/>
                <w:b/>
                <w:bCs/>
              </w:rPr>
            </w:pPr>
            <w:r>
              <w:rPr>
                <w:rFonts w:hint="eastAsia"/>
                <w:b/>
                <w:bCs/>
              </w:rPr>
              <w:t>标准制定</w:t>
            </w:r>
          </w:p>
        </w:tc>
        <w:tc>
          <w:tcPr>
            <w:tcW w:w="6459" w:type="dxa"/>
            <w:vAlign w:val="center"/>
          </w:tcPr>
          <w:p>
            <w:pPr>
              <w:jc w:val="center"/>
              <w:rPr>
                <w:rFonts w:hint="eastAsia" w:ascii="Arial" w:hAnsi="Arial" w:cs="Arial"/>
              </w:rPr>
            </w:pPr>
            <w:r>
              <w:rPr>
                <w:rFonts w:hint="eastAsia" w:ascii="Arial" w:hAnsi="Arial" w:cs="Arial"/>
              </w:rPr>
              <w:sym w:font="Wingdings 2" w:char="0052"/>
            </w:r>
            <w:r>
              <w:rPr>
                <w:rFonts w:hint="eastAsia" w:ascii="Arial" w:hAnsi="Arial" w:cs="Arial"/>
              </w:rPr>
              <w:t xml:space="preserve">需要 </w:t>
            </w:r>
            <w:r>
              <w:rPr>
                <w:rFonts w:hint="eastAsia" w:ascii="Arial" w:hAnsi="Arial" w:cs="Arial"/>
              </w:rPr>
              <w:sym w:font="Wingdings 2" w:char="00A3"/>
            </w:r>
            <w:r>
              <w:rPr>
                <w:rFonts w:hint="eastAsia" w:ascii="Arial" w:hAnsi="Arial" w:cs="Arial"/>
              </w:rPr>
              <w:t>不需要</w:t>
            </w:r>
          </w:p>
        </w:tc>
      </w:tr>
    </w:tbl>
    <w:tbl>
      <w:tblPr>
        <w:tblStyle w:val="4"/>
        <w:tblW w:w="8610" w:type="dxa"/>
        <w:tblInd w:w="0" w:type="dxa"/>
        <w:shd w:val="clear" w:color="auto" w:fill="FFFFFF"/>
        <w:tblLayout w:type="autofit"/>
        <w:tblCellMar>
          <w:top w:w="0" w:type="dxa"/>
          <w:left w:w="0" w:type="dxa"/>
          <w:bottom w:w="0" w:type="dxa"/>
          <w:right w:w="0" w:type="dxa"/>
        </w:tblCellMar>
      </w:tblPr>
      <w:tblGrid>
        <w:gridCol w:w="2091"/>
        <w:gridCol w:w="1107"/>
        <w:gridCol w:w="867"/>
        <w:gridCol w:w="1381"/>
        <w:gridCol w:w="1145"/>
        <w:gridCol w:w="2019"/>
      </w:tblGrid>
      <w:tr>
        <w:tblPrEx>
          <w:shd w:val="clear" w:color="auto" w:fill="FFFFFF"/>
          <w:tblCellMar>
            <w:top w:w="0" w:type="dxa"/>
            <w:left w:w="0" w:type="dxa"/>
            <w:bottom w:w="0" w:type="dxa"/>
            <w:right w:w="0" w:type="dxa"/>
          </w:tblCellMar>
        </w:tblPrEx>
        <w:trPr>
          <w:trHeight w:val="750" w:hRule="atLeast"/>
        </w:trPr>
        <w:tc>
          <w:tcPr>
            <w:tcW w:w="21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负责人</w:t>
            </w:r>
          </w:p>
        </w:tc>
        <w:tc>
          <w:tcPr>
            <w:tcW w:w="11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default"/>
                <w:lang w:val="en-US" w:eastAsia="zh-CN"/>
              </w:rPr>
            </w:pPr>
            <w:r>
              <w:rPr>
                <w:rFonts w:hint="eastAsia"/>
                <w:lang w:val="en-US" w:eastAsia="zh-CN"/>
              </w:rPr>
              <w:t>李军</w:t>
            </w:r>
            <w:bookmarkStart w:id="1" w:name="_GoBack"/>
            <w:bookmarkEnd w:id="1"/>
          </w:p>
        </w:tc>
        <w:tc>
          <w:tcPr>
            <w:tcW w:w="8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手机</w:t>
            </w:r>
          </w:p>
        </w:tc>
        <w:tc>
          <w:tcPr>
            <w:tcW w:w="13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eastAsia"/>
                <w:lang w:val="en-US" w:eastAsia="zh-CN"/>
              </w:rPr>
            </w:pPr>
            <w:r>
              <w:rPr>
                <w:rFonts w:hint="eastAsia"/>
                <w:lang w:val="en-US" w:eastAsia="zh-CN"/>
              </w:rPr>
              <w:t>18210774604</w:t>
            </w:r>
          </w:p>
        </w:tc>
        <w:tc>
          <w:tcPr>
            <w:tcW w:w="11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邮箱</w:t>
            </w:r>
          </w:p>
        </w:tc>
        <w:tc>
          <w:tcPr>
            <w:tcW w:w="2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default"/>
                <w:lang w:val="en-US" w:eastAsia="zh-CN"/>
              </w:rPr>
            </w:pPr>
            <w:r>
              <w:rPr>
                <w:rFonts w:hint="eastAsia"/>
                <w:lang w:val="en-US" w:eastAsia="zh-CN"/>
              </w:rPr>
              <w:t>Xunn@horwater.com</w:t>
            </w:r>
          </w:p>
        </w:tc>
      </w:tr>
      <w:tr>
        <w:tblPrEx>
          <w:shd w:val="clear" w:color="auto" w:fill="FFFFFF"/>
          <w:tblCellMar>
            <w:top w:w="0" w:type="dxa"/>
            <w:left w:w="0" w:type="dxa"/>
            <w:bottom w:w="0" w:type="dxa"/>
            <w:right w:w="0" w:type="dxa"/>
          </w:tblCellMar>
        </w:tblPrEx>
        <w:trPr>
          <w:trHeight w:val="750" w:hRule="atLeast"/>
        </w:trPr>
        <w:tc>
          <w:tcPr>
            <w:tcW w:w="211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联系人</w:t>
            </w:r>
          </w:p>
        </w:tc>
        <w:tc>
          <w:tcPr>
            <w:tcW w:w="11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eastAsia"/>
                <w:lang w:val="en-US" w:eastAsia="zh-CN"/>
              </w:rPr>
            </w:pPr>
            <w:r>
              <w:rPr>
                <w:rFonts w:hint="eastAsia"/>
                <w:lang w:val="en-US" w:eastAsia="zh-CN"/>
              </w:rPr>
              <w:t>续南南</w:t>
            </w:r>
          </w:p>
        </w:tc>
        <w:tc>
          <w:tcPr>
            <w:tcW w:w="8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手机</w:t>
            </w:r>
          </w:p>
        </w:tc>
        <w:tc>
          <w:tcPr>
            <w:tcW w:w="13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eastAsia"/>
                <w:lang w:val="en-US" w:eastAsia="zh-CN"/>
              </w:rPr>
            </w:pPr>
            <w:r>
              <w:rPr>
                <w:rFonts w:hint="eastAsia"/>
                <w:lang w:val="en-US" w:eastAsia="zh-CN"/>
              </w:rPr>
              <w:t>18210774604</w:t>
            </w:r>
          </w:p>
        </w:tc>
        <w:tc>
          <w:tcPr>
            <w:tcW w:w="11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65" w:lineRule="atLeast"/>
              <w:jc w:val="center"/>
              <w:rPr>
                <w:rFonts w:ascii="Microsoft YaHei UI" w:hAnsi="Microsoft YaHei UI" w:eastAsia="Microsoft YaHei UI" w:cs="宋体"/>
                <w:b/>
                <w:color w:val="333333"/>
                <w:spacing w:val="8"/>
                <w:kern w:val="0"/>
                <w:sz w:val="26"/>
                <w:szCs w:val="26"/>
              </w:rPr>
            </w:pPr>
            <w:r>
              <w:rPr>
                <w:rFonts w:hint="eastAsia" w:ascii="宋体" w:hAnsi="宋体" w:eastAsia="宋体" w:cs="宋体"/>
                <w:b/>
                <w:color w:val="333333"/>
                <w:spacing w:val="8"/>
                <w:kern w:val="0"/>
                <w:sz w:val="26"/>
                <w:szCs w:val="26"/>
              </w:rPr>
              <w:t>邮箱</w:t>
            </w:r>
          </w:p>
        </w:tc>
        <w:tc>
          <w:tcPr>
            <w:tcW w:w="2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both"/>
              <w:rPr>
                <w:rFonts w:hint="eastAsia"/>
                <w:lang w:val="en-US" w:eastAsia="zh-CN"/>
              </w:rPr>
            </w:pPr>
            <w:r>
              <w:rPr>
                <w:rFonts w:hint="eastAsia"/>
                <w:lang w:val="en-US" w:eastAsia="zh-CN"/>
              </w:rPr>
              <w:t>Xunn@horwater.com</w:t>
            </w:r>
          </w:p>
        </w:tc>
      </w:tr>
    </w:tbl>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A7282"/>
    <w:rsid w:val="000569C1"/>
    <w:rsid w:val="0008244B"/>
    <w:rsid w:val="000D7685"/>
    <w:rsid w:val="000E0781"/>
    <w:rsid w:val="000F04BB"/>
    <w:rsid w:val="00122910"/>
    <w:rsid w:val="001F5B7F"/>
    <w:rsid w:val="003A396B"/>
    <w:rsid w:val="00567520"/>
    <w:rsid w:val="005E6852"/>
    <w:rsid w:val="005F0B2F"/>
    <w:rsid w:val="005F10C5"/>
    <w:rsid w:val="005F187A"/>
    <w:rsid w:val="006220E3"/>
    <w:rsid w:val="00622EEB"/>
    <w:rsid w:val="006241F1"/>
    <w:rsid w:val="006411F9"/>
    <w:rsid w:val="00654BC4"/>
    <w:rsid w:val="006E17E8"/>
    <w:rsid w:val="00922D53"/>
    <w:rsid w:val="0092630F"/>
    <w:rsid w:val="00933426"/>
    <w:rsid w:val="009623AC"/>
    <w:rsid w:val="009768CF"/>
    <w:rsid w:val="009F27D4"/>
    <w:rsid w:val="00A203DB"/>
    <w:rsid w:val="00A36EC1"/>
    <w:rsid w:val="00A41419"/>
    <w:rsid w:val="00AA7996"/>
    <w:rsid w:val="00AB3815"/>
    <w:rsid w:val="00AC38DC"/>
    <w:rsid w:val="00AE360A"/>
    <w:rsid w:val="00B173B0"/>
    <w:rsid w:val="00B42C78"/>
    <w:rsid w:val="00B61BE8"/>
    <w:rsid w:val="00B7237C"/>
    <w:rsid w:val="00C05C35"/>
    <w:rsid w:val="00C357FE"/>
    <w:rsid w:val="00CC6194"/>
    <w:rsid w:val="00D83A09"/>
    <w:rsid w:val="00DA3131"/>
    <w:rsid w:val="00F0414F"/>
    <w:rsid w:val="00F379C9"/>
    <w:rsid w:val="00F539B3"/>
    <w:rsid w:val="00FB1374"/>
    <w:rsid w:val="00FD4383"/>
    <w:rsid w:val="01484DF4"/>
    <w:rsid w:val="1DE2711B"/>
    <w:rsid w:val="27877E32"/>
    <w:rsid w:val="2C0C1BC3"/>
    <w:rsid w:val="3C8958A2"/>
    <w:rsid w:val="4264250C"/>
    <w:rsid w:val="564B0553"/>
    <w:rsid w:val="568A7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36</Words>
  <Characters>208</Characters>
  <Lines>1</Lines>
  <Paragraphs>1</Paragraphs>
  <TotalTime>1</TotalTime>
  <ScaleCrop>false</ScaleCrop>
  <LinksUpToDate>false</LinksUpToDate>
  <CharactersWithSpaces>243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2020-11-06T05:40:00Z</dcterms:created>
  <dc:creator>18216</dc:creator>
  <cp:lastModifiedBy>南南</cp:lastModifiedBy>
  <dcterms:modified xsi:type="dcterms:W3CDTF">2020-12-16T05:17:11Z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